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B90" w:rsidRPr="001E3386" w:rsidRDefault="00C249CD" w:rsidP="00992B90">
      <w:pPr>
        <w:jc w:val="center"/>
      </w:pPr>
      <w:r w:rsidRPr="001E3386">
        <w:rPr>
          <w:b/>
        </w:rPr>
        <w:t>ПРИГЛАШЕНИЕ</w:t>
      </w:r>
    </w:p>
    <w:p w:rsidR="00E332D2" w:rsidRPr="001E3386" w:rsidRDefault="00C249CD" w:rsidP="00111EF8">
      <w:pPr>
        <w:jc w:val="center"/>
      </w:pPr>
      <w:r w:rsidRPr="001E3386">
        <w:t xml:space="preserve">к участию в процедуре закупки </w:t>
      </w:r>
      <w:r w:rsidR="006773AC" w:rsidRPr="001E3386">
        <w:t xml:space="preserve">услуг </w:t>
      </w:r>
      <w:r w:rsidR="00E332D2" w:rsidRPr="001E3386">
        <w:t xml:space="preserve">по сертификации банковских информационных систем на соответствие требованиям стандарта безопасности международных платежных систем </w:t>
      </w:r>
      <w:r w:rsidR="00E332D2" w:rsidRPr="001E3386">
        <w:rPr>
          <w:lang w:val="en-US"/>
        </w:rPr>
        <w:t>PCI</w:t>
      </w:r>
      <w:r w:rsidR="00E332D2" w:rsidRPr="001E3386">
        <w:t>-</w:t>
      </w:r>
      <w:r w:rsidR="00E332D2" w:rsidRPr="001E3386">
        <w:rPr>
          <w:lang w:val="en-US"/>
        </w:rPr>
        <w:t>DSS</w:t>
      </w:r>
      <w:r w:rsidR="0006148B" w:rsidRPr="001E3386">
        <w:t xml:space="preserve"> 4.0.1</w:t>
      </w:r>
    </w:p>
    <w:p w:rsidR="00A34C1A" w:rsidRPr="001E3386" w:rsidRDefault="00E332D2" w:rsidP="00111EF8">
      <w:pPr>
        <w:jc w:val="center"/>
      </w:pPr>
      <w:r w:rsidRPr="001E3386">
        <w:t xml:space="preserve"> (Ежегодное прохождение аудита – требование МПС)</w:t>
      </w:r>
    </w:p>
    <w:p w:rsidR="00F208B7" w:rsidRPr="001E3386" w:rsidRDefault="00F208B7" w:rsidP="00111EF8">
      <w:pPr>
        <w:jc w:val="cente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7088"/>
      </w:tblGrid>
      <w:tr w:rsidR="00992B90" w:rsidRPr="001E3386" w:rsidTr="00111EF8">
        <w:tc>
          <w:tcPr>
            <w:tcW w:w="3119" w:type="dxa"/>
            <w:shd w:val="clear" w:color="auto" w:fill="auto"/>
          </w:tcPr>
          <w:p w:rsidR="00992B90" w:rsidRPr="001E3386" w:rsidRDefault="00BB131F" w:rsidP="00F304B8">
            <w:pPr>
              <w:jc w:val="both"/>
            </w:pPr>
            <w:r w:rsidRPr="001E3386">
              <w:t>Наименование вида процедуры закупки:</w:t>
            </w:r>
          </w:p>
        </w:tc>
        <w:tc>
          <w:tcPr>
            <w:tcW w:w="7088" w:type="dxa"/>
            <w:shd w:val="clear" w:color="auto" w:fill="auto"/>
          </w:tcPr>
          <w:p w:rsidR="00992B90" w:rsidRPr="001E3386" w:rsidRDefault="00F304B8" w:rsidP="00CF6967">
            <w:pPr>
              <w:autoSpaceDE w:val="0"/>
              <w:autoSpaceDN w:val="0"/>
              <w:adjustRightInd w:val="0"/>
              <w:jc w:val="both"/>
            </w:pPr>
            <w:r w:rsidRPr="001E3386">
              <w:t>Процедура оформлени</w:t>
            </w:r>
            <w:r w:rsidR="00CF6967" w:rsidRPr="001E3386">
              <w:t>я</w:t>
            </w:r>
            <w:r w:rsidRPr="001E3386">
              <w:t xml:space="preserve"> конкурентного листа</w:t>
            </w:r>
          </w:p>
        </w:tc>
      </w:tr>
      <w:tr w:rsidR="00C249CD" w:rsidRPr="001E3386" w:rsidTr="00111EF8">
        <w:tc>
          <w:tcPr>
            <w:tcW w:w="3119" w:type="dxa"/>
            <w:shd w:val="clear" w:color="auto" w:fill="auto"/>
          </w:tcPr>
          <w:p w:rsidR="00C249CD" w:rsidRPr="001E3386" w:rsidRDefault="00C249CD" w:rsidP="00F304B8">
            <w:pPr>
              <w:jc w:val="both"/>
            </w:pPr>
            <w:r w:rsidRPr="001E3386">
              <w:t>Наименование и место нахождения Заказчика:</w:t>
            </w:r>
          </w:p>
        </w:tc>
        <w:tc>
          <w:tcPr>
            <w:tcW w:w="7088" w:type="dxa"/>
            <w:shd w:val="clear" w:color="auto" w:fill="auto"/>
          </w:tcPr>
          <w:p w:rsidR="00952FA1" w:rsidRPr="001E3386" w:rsidRDefault="00952FA1" w:rsidP="00952FA1">
            <w:pPr>
              <w:shd w:val="clear" w:color="auto" w:fill="FFFFFF" w:themeFill="background1"/>
              <w:jc w:val="both"/>
              <w:rPr>
                <w:rFonts w:eastAsia="A"/>
              </w:rPr>
            </w:pPr>
            <w:r w:rsidRPr="001E3386">
              <w:rPr>
                <w:rFonts w:eastAsia="A"/>
              </w:rPr>
              <w:t xml:space="preserve">ОАО «Сбер Банк», </w:t>
            </w:r>
          </w:p>
          <w:p w:rsidR="00C249CD" w:rsidRPr="001E3386" w:rsidRDefault="00952FA1" w:rsidP="00952FA1">
            <w:pPr>
              <w:jc w:val="both"/>
            </w:pPr>
            <w:r w:rsidRPr="001E3386">
              <w:rPr>
                <w:rFonts w:eastAsia="A"/>
              </w:rPr>
              <w:t>г. Минск, пр-т Независимости, 32А-1</w:t>
            </w:r>
          </w:p>
        </w:tc>
      </w:tr>
      <w:tr w:rsidR="00111EF8" w:rsidRPr="001E3386" w:rsidTr="00111EF8">
        <w:tc>
          <w:tcPr>
            <w:tcW w:w="3119" w:type="dxa"/>
            <w:shd w:val="clear" w:color="auto" w:fill="auto"/>
          </w:tcPr>
          <w:p w:rsidR="00111EF8" w:rsidRPr="001E3386" w:rsidRDefault="00111EF8" w:rsidP="00F304B8">
            <w:pPr>
              <w:jc w:val="both"/>
            </w:pPr>
            <w:r w:rsidRPr="001E3386">
              <w:t>Код подвида товаров в соответствии с Классификатором продукции</w:t>
            </w:r>
          </w:p>
        </w:tc>
        <w:tc>
          <w:tcPr>
            <w:tcW w:w="7088" w:type="dxa"/>
            <w:shd w:val="clear" w:color="auto" w:fill="auto"/>
          </w:tcPr>
          <w:p w:rsidR="00111EF8" w:rsidRPr="001E3386" w:rsidRDefault="001A73D6" w:rsidP="00111EF8">
            <w:pPr>
              <w:jc w:val="both"/>
            </w:pPr>
            <w:r w:rsidRPr="001E3386">
              <w:rPr>
                <w:rFonts w:eastAsiaTheme="minorHAnsi"/>
                <w:lang w:eastAsia="en-US"/>
              </w:rPr>
              <w:t>62</w:t>
            </w:r>
            <w:r w:rsidR="0006148B" w:rsidRPr="001E3386">
              <w:rPr>
                <w:rFonts w:eastAsiaTheme="minorHAnsi"/>
                <w:lang w:eastAsia="en-US"/>
              </w:rPr>
              <w:t>.00.</w:t>
            </w:r>
            <w:r w:rsidR="00111EF8" w:rsidRPr="001E3386">
              <w:tab/>
            </w:r>
          </w:p>
        </w:tc>
      </w:tr>
      <w:tr w:rsidR="00111EF8" w:rsidRPr="001E3386" w:rsidTr="00111EF8">
        <w:trPr>
          <w:trHeight w:val="1467"/>
        </w:trPr>
        <w:tc>
          <w:tcPr>
            <w:tcW w:w="3119" w:type="dxa"/>
            <w:shd w:val="clear" w:color="auto" w:fill="auto"/>
          </w:tcPr>
          <w:p w:rsidR="00111EF8" w:rsidRPr="001E3386" w:rsidRDefault="00111EF8" w:rsidP="00F304B8">
            <w:pPr>
              <w:jc w:val="both"/>
            </w:pPr>
            <w:r w:rsidRPr="001E3386">
              <w:t>Наименование подвида товаров (работ, услуг) в соответствии с Классификатором продукции</w:t>
            </w:r>
          </w:p>
        </w:tc>
        <w:tc>
          <w:tcPr>
            <w:tcW w:w="7088" w:type="dxa"/>
            <w:shd w:val="clear" w:color="auto" w:fill="auto"/>
          </w:tcPr>
          <w:p w:rsidR="001A73D6" w:rsidRPr="001E3386" w:rsidRDefault="001A73D6" w:rsidP="001A73D6">
            <w:pPr>
              <w:autoSpaceDE w:val="0"/>
              <w:autoSpaceDN w:val="0"/>
              <w:adjustRightInd w:val="0"/>
              <w:rPr>
                <w:rFonts w:eastAsiaTheme="minorHAnsi"/>
                <w:lang w:eastAsia="en-US"/>
              </w:rPr>
            </w:pPr>
            <w:r w:rsidRPr="001E3386">
              <w:rPr>
                <w:rFonts w:eastAsiaTheme="minorHAnsi"/>
                <w:lang w:eastAsia="en-US"/>
              </w:rPr>
              <w:t>Услуги в области компьютерного программирования, консультационные и аналогичные услуги</w:t>
            </w:r>
          </w:p>
          <w:p w:rsidR="00111EF8" w:rsidRPr="001E3386" w:rsidRDefault="00111EF8" w:rsidP="00F304B8">
            <w:pPr>
              <w:jc w:val="both"/>
              <w:rPr>
                <w:highlight w:val="yellow"/>
              </w:rPr>
            </w:pPr>
          </w:p>
        </w:tc>
      </w:tr>
      <w:tr w:rsidR="00C249CD" w:rsidRPr="001E3386" w:rsidTr="00111EF8">
        <w:tc>
          <w:tcPr>
            <w:tcW w:w="3119" w:type="dxa"/>
            <w:shd w:val="clear" w:color="auto" w:fill="auto"/>
          </w:tcPr>
          <w:p w:rsidR="00C249CD" w:rsidRPr="001E3386" w:rsidRDefault="00C249CD" w:rsidP="00F304B8">
            <w:pPr>
              <w:jc w:val="both"/>
              <w:rPr>
                <w:lang w:val="en-US"/>
              </w:rPr>
            </w:pPr>
            <w:r w:rsidRPr="001E3386">
              <w:t>Предмет закупки</w:t>
            </w:r>
            <w:r w:rsidRPr="001E3386">
              <w:rPr>
                <w:lang w:val="en-US"/>
              </w:rPr>
              <w:t>:</w:t>
            </w:r>
          </w:p>
        </w:tc>
        <w:tc>
          <w:tcPr>
            <w:tcW w:w="7088" w:type="dxa"/>
            <w:shd w:val="clear" w:color="auto" w:fill="auto"/>
          </w:tcPr>
          <w:p w:rsidR="00E0682E" w:rsidRPr="001E3386" w:rsidRDefault="00D00378" w:rsidP="00256574">
            <w:pPr>
              <w:jc w:val="both"/>
              <w:rPr>
                <w:bCs/>
              </w:rPr>
            </w:pPr>
            <w:r w:rsidRPr="001E3386">
              <w:t xml:space="preserve">Проведение </w:t>
            </w:r>
            <w:r w:rsidR="00F31544" w:rsidRPr="001E3386">
              <w:t xml:space="preserve">сертификации банковских информационных систем на соответствие требованиям стандарта безопасности международных платежных систем </w:t>
            </w:r>
            <w:r w:rsidR="0006148B" w:rsidRPr="001E3386">
              <w:rPr>
                <w:lang w:val="en-US"/>
              </w:rPr>
              <w:t>PCI</w:t>
            </w:r>
            <w:r w:rsidR="0006148B" w:rsidRPr="001E3386">
              <w:t>-</w:t>
            </w:r>
            <w:r w:rsidR="0006148B" w:rsidRPr="001E3386">
              <w:rPr>
                <w:lang w:val="en-US"/>
              </w:rPr>
              <w:t>DSS</w:t>
            </w:r>
            <w:r w:rsidR="0006148B" w:rsidRPr="001E3386">
              <w:t xml:space="preserve"> 4.0.1 </w:t>
            </w:r>
            <w:r w:rsidR="00F31544" w:rsidRPr="001E3386">
              <w:t>(Ежегодное прох</w:t>
            </w:r>
            <w:r w:rsidR="0006148B" w:rsidRPr="001E3386">
              <w:t>ождение аудита – требование МПС изложены</w:t>
            </w:r>
            <w:r w:rsidR="00F31544" w:rsidRPr="001E3386">
              <w:t xml:space="preserve"> </w:t>
            </w:r>
            <w:r w:rsidR="00062AB6" w:rsidRPr="001E3386">
              <w:t>в Приложени</w:t>
            </w:r>
            <w:r w:rsidR="00256574" w:rsidRPr="001E3386">
              <w:t>и</w:t>
            </w:r>
            <w:r w:rsidR="00A6418C" w:rsidRPr="001E3386">
              <w:t xml:space="preserve"> 1</w:t>
            </w:r>
            <w:r w:rsidR="00F31544" w:rsidRPr="001E3386">
              <w:t xml:space="preserve"> </w:t>
            </w:r>
            <w:r w:rsidR="006866C2" w:rsidRPr="001E3386">
              <w:rPr>
                <w:bCs/>
              </w:rPr>
              <w:t>к Приглашению</w:t>
            </w:r>
            <w:r w:rsidR="0006148B" w:rsidRPr="001E3386">
              <w:rPr>
                <w:bCs/>
              </w:rPr>
              <w:t>)</w:t>
            </w:r>
            <w:r w:rsidR="00062AB6" w:rsidRPr="001E3386">
              <w:rPr>
                <w:bCs/>
              </w:rPr>
              <w:t>.</w:t>
            </w:r>
          </w:p>
        </w:tc>
      </w:tr>
      <w:tr w:rsidR="00DC41C2" w:rsidRPr="001E3386" w:rsidTr="00111EF8">
        <w:tc>
          <w:tcPr>
            <w:tcW w:w="3119" w:type="dxa"/>
            <w:shd w:val="clear" w:color="auto" w:fill="auto"/>
          </w:tcPr>
          <w:p w:rsidR="00DC41C2" w:rsidRPr="001E3386" w:rsidRDefault="002B7895" w:rsidP="00F304B8">
            <w:pPr>
              <w:jc w:val="both"/>
            </w:pPr>
            <w:r w:rsidRPr="001E3386">
              <w:t>Ориентировочная стоимость предмета закупки</w:t>
            </w:r>
          </w:p>
        </w:tc>
        <w:tc>
          <w:tcPr>
            <w:tcW w:w="7088" w:type="dxa"/>
            <w:shd w:val="clear" w:color="auto" w:fill="auto"/>
          </w:tcPr>
          <w:p w:rsidR="00952FA1" w:rsidRPr="001E3386" w:rsidRDefault="0006148B" w:rsidP="00952FA1">
            <w:pPr>
              <w:jc w:val="both"/>
              <w:rPr>
                <w:b/>
                <w:i/>
              </w:rPr>
            </w:pPr>
            <w:r w:rsidRPr="001E3386">
              <w:rPr>
                <w:b/>
                <w:i/>
              </w:rPr>
              <w:t>80 000</w:t>
            </w:r>
            <w:r w:rsidR="001F601F" w:rsidRPr="001E3386">
              <w:rPr>
                <w:b/>
                <w:i/>
              </w:rPr>
              <w:t>,00</w:t>
            </w:r>
            <w:r w:rsidR="00DC41C2" w:rsidRPr="001E3386">
              <w:rPr>
                <w:b/>
                <w:i/>
              </w:rPr>
              <w:t xml:space="preserve"> </w:t>
            </w:r>
            <w:r w:rsidRPr="001E3386">
              <w:rPr>
                <w:b/>
                <w:i/>
              </w:rPr>
              <w:t>белорусских</w:t>
            </w:r>
            <w:r w:rsidR="00256574" w:rsidRPr="001E3386">
              <w:rPr>
                <w:b/>
                <w:i/>
              </w:rPr>
              <w:t xml:space="preserve"> рублей</w:t>
            </w:r>
            <w:r w:rsidR="00952FA1" w:rsidRPr="001E3386">
              <w:rPr>
                <w:b/>
                <w:i/>
              </w:rPr>
              <w:t xml:space="preserve"> </w:t>
            </w:r>
          </w:p>
          <w:p w:rsidR="00952FA1" w:rsidRPr="001E3386" w:rsidRDefault="00952FA1" w:rsidP="00952FA1">
            <w:pPr>
              <w:jc w:val="both"/>
              <w:rPr>
                <w:b/>
                <w:i/>
              </w:rPr>
            </w:pPr>
          </w:p>
          <w:p w:rsidR="00DC41C2" w:rsidRPr="001E3386" w:rsidRDefault="00DC41C2" w:rsidP="00952FA1">
            <w:pPr>
              <w:jc w:val="both"/>
              <w:rPr>
                <w:i/>
              </w:rPr>
            </w:pPr>
            <w:r w:rsidRPr="001E3386">
              <w:rPr>
                <w:i/>
              </w:rPr>
              <w:t xml:space="preserve">Ориентировочная </w:t>
            </w:r>
            <w:r w:rsidR="002B7895" w:rsidRPr="001E3386">
              <w:rPr>
                <w:i/>
              </w:rPr>
              <w:t xml:space="preserve">стоимость предмета закупки  </w:t>
            </w:r>
            <w:r w:rsidRPr="001E3386">
              <w:rPr>
                <w:i/>
              </w:rPr>
              <w:t xml:space="preserve"> является предельной максимальной и может быть снижена участником</w:t>
            </w:r>
          </w:p>
        </w:tc>
      </w:tr>
      <w:tr w:rsidR="00992B90" w:rsidRPr="001E3386" w:rsidTr="00111EF8">
        <w:tc>
          <w:tcPr>
            <w:tcW w:w="3119" w:type="dxa"/>
            <w:shd w:val="clear" w:color="auto" w:fill="auto"/>
            <w:vAlign w:val="center"/>
          </w:tcPr>
          <w:p w:rsidR="00992B90" w:rsidRPr="001E3386" w:rsidRDefault="00992B90" w:rsidP="00F304B8">
            <w:r w:rsidRPr="001E3386">
              <w:t>Наличие финансового источника:</w:t>
            </w:r>
          </w:p>
        </w:tc>
        <w:tc>
          <w:tcPr>
            <w:tcW w:w="7088" w:type="dxa"/>
            <w:shd w:val="clear" w:color="auto" w:fill="auto"/>
          </w:tcPr>
          <w:p w:rsidR="00992B90" w:rsidRPr="001E3386" w:rsidRDefault="00C02EC9" w:rsidP="00C249CD">
            <w:pPr>
              <w:jc w:val="both"/>
            </w:pPr>
            <w:r w:rsidRPr="001E3386">
              <w:t>С</w:t>
            </w:r>
            <w:r w:rsidR="00C249CD" w:rsidRPr="001E3386">
              <w:t>обственные средства Банка</w:t>
            </w:r>
          </w:p>
        </w:tc>
      </w:tr>
      <w:tr w:rsidR="009269C9" w:rsidRPr="001E3386" w:rsidTr="00111EF8">
        <w:tc>
          <w:tcPr>
            <w:tcW w:w="3119" w:type="dxa"/>
            <w:shd w:val="clear" w:color="auto" w:fill="auto"/>
            <w:vAlign w:val="center"/>
          </w:tcPr>
          <w:p w:rsidR="009269C9" w:rsidRPr="001E3386" w:rsidRDefault="009269C9" w:rsidP="00F304B8">
            <w:r w:rsidRPr="001E3386">
              <w:t>Требование к участникам:</w:t>
            </w:r>
          </w:p>
        </w:tc>
        <w:tc>
          <w:tcPr>
            <w:tcW w:w="7088" w:type="dxa"/>
            <w:shd w:val="clear" w:color="auto" w:fill="auto"/>
          </w:tcPr>
          <w:p w:rsidR="00E74DFF" w:rsidRPr="001E3386" w:rsidRDefault="00E74DFF" w:rsidP="00E74DFF">
            <w:pPr>
              <w:jc w:val="both"/>
            </w:pPr>
            <w:r w:rsidRPr="001E3386">
              <w:t xml:space="preserve">К участию в процедуре закупке допускаются юридические </w:t>
            </w:r>
            <w:r w:rsidR="00F063D3" w:rsidRPr="001E3386">
              <w:t xml:space="preserve">лица </w:t>
            </w:r>
            <w:r w:rsidRPr="001E3386">
              <w:t xml:space="preserve">– резиденты и нерезиденты Республики Беларусь. </w:t>
            </w:r>
          </w:p>
          <w:p w:rsidR="007369AE" w:rsidRPr="001E3386" w:rsidRDefault="007369AE" w:rsidP="00E74DFF">
            <w:pPr>
              <w:jc w:val="both"/>
            </w:pPr>
          </w:p>
          <w:p w:rsidR="00E74DFF" w:rsidRPr="001E3386" w:rsidRDefault="00E74DFF" w:rsidP="00E74DFF">
            <w:pPr>
              <w:jc w:val="both"/>
            </w:pPr>
            <w:r w:rsidRPr="001E3386">
              <w:t>К участию в процедуре закупке не допускаются:</w:t>
            </w:r>
          </w:p>
          <w:p w:rsidR="00E74DFF" w:rsidRPr="001E3386" w:rsidRDefault="00E74DFF" w:rsidP="00E74DFF">
            <w:pPr>
              <w:autoSpaceDE w:val="0"/>
              <w:autoSpaceDN w:val="0"/>
              <w:adjustRightInd w:val="0"/>
              <w:jc w:val="both"/>
              <w:rPr>
                <w:rFonts w:eastAsiaTheme="minorHAnsi"/>
                <w:lang w:eastAsia="en-US"/>
              </w:rPr>
            </w:pPr>
            <w:r w:rsidRPr="001E3386">
              <w:rPr>
                <w:rFonts w:eastAsiaTheme="minorHAnsi"/>
                <w:lang w:eastAsia="en-US"/>
              </w:rPr>
              <w:t>- юридическое лицо, находящееся в процессе ликвидации, реорганизации (за исключением юридического лица, к которому присоеди</w:t>
            </w:r>
            <w:r w:rsidR="00F063D3" w:rsidRPr="001E3386">
              <w:rPr>
                <w:rFonts w:eastAsiaTheme="minorHAnsi"/>
                <w:lang w:eastAsia="en-US"/>
              </w:rPr>
              <w:t>няется другое юридическое лицо)</w:t>
            </w:r>
            <w:r w:rsidRPr="001E3386">
              <w:rPr>
                <w:rFonts w:eastAsiaTheme="minorHAnsi"/>
                <w:lang w:eastAsia="en-US"/>
              </w:rPr>
              <w:t>;</w:t>
            </w:r>
          </w:p>
          <w:p w:rsidR="00E74DFF" w:rsidRPr="001E3386" w:rsidRDefault="00E74DFF" w:rsidP="00E74DFF">
            <w:pPr>
              <w:autoSpaceDE w:val="0"/>
              <w:autoSpaceDN w:val="0"/>
              <w:adjustRightInd w:val="0"/>
              <w:jc w:val="both"/>
              <w:rPr>
                <w:rFonts w:eastAsiaTheme="minorHAnsi"/>
                <w:lang w:eastAsia="en-US"/>
              </w:rPr>
            </w:pPr>
            <w:r w:rsidRPr="001E3386">
              <w:rPr>
                <w:rFonts w:eastAsiaTheme="minorHAnsi"/>
                <w:lang w:eastAsia="en-US"/>
              </w:rPr>
              <w:t>- юридическое лицо, в отношении которого возбуждено производство по делу об экономической несостоятельности (банкротстве). Данное требование не распространяется на юридическое лицо, находящихся в процедуре экономической несостоятельности (банкротства), применяемой в целях восстановления платежеспособности (санации);</w:t>
            </w:r>
          </w:p>
          <w:p w:rsidR="00E74DFF" w:rsidRPr="001E3386" w:rsidRDefault="00E74DFF" w:rsidP="00E74DFF">
            <w:pPr>
              <w:autoSpaceDE w:val="0"/>
              <w:autoSpaceDN w:val="0"/>
              <w:adjustRightInd w:val="0"/>
              <w:jc w:val="both"/>
              <w:rPr>
                <w:rFonts w:eastAsiaTheme="minorHAnsi"/>
                <w:lang w:eastAsia="en-US"/>
              </w:rPr>
            </w:pPr>
            <w:r w:rsidRPr="001E3386">
              <w:rPr>
                <w:rFonts w:eastAsiaTheme="minorHAnsi"/>
                <w:lang w:eastAsia="en-US"/>
              </w:rPr>
              <w:t>- юридическое лицо при наличии неснятой или непогашенной судимости у руководителя данного юридического лица (лица, уполномоченного на заключение договора на приобретение Банком предмета закупки), а равно при наличии в отношении их возбужденного уголовного дела;</w:t>
            </w:r>
          </w:p>
          <w:p w:rsidR="009269C9" w:rsidRPr="001E3386" w:rsidRDefault="00E74DFF" w:rsidP="00C26535">
            <w:pPr>
              <w:jc w:val="both"/>
            </w:pPr>
            <w:r w:rsidRPr="001E3386">
              <w:rPr>
                <w:rFonts w:eastAsiaTheme="minorHAnsi"/>
                <w:lang w:eastAsia="en-US"/>
              </w:rPr>
              <w:t>- юридическое лицо,  представивш</w:t>
            </w:r>
            <w:r w:rsidR="00C26535" w:rsidRPr="001E3386">
              <w:rPr>
                <w:rFonts w:eastAsiaTheme="minorHAnsi"/>
                <w:lang w:eastAsia="en-US"/>
              </w:rPr>
              <w:t>ее</w:t>
            </w:r>
            <w:r w:rsidRPr="001E3386">
              <w:rPr>
                <w:rFonts w:eastAsiaTheme="minorHAnsi"/>
                <w:lang w:eastAsia="en-US"/>
              </w:rPr>
              <w:t xml:space="preserve"> </w:t>
            </w:r>
            <w:r w:rsidR="00C26535" w:rsidRPr="001E3386">
              <w:rPr>
                <w:rFonts w:eastAsiaTheme="minorHAnsi"/>
                <w:lang w:eastAsia="en-US"/>
              </w:rPr>
              <w:t>недостоверную информацию о себе.</w:t>
            </w:r>
          </w:p>
        </w:tc>
      </w:tr>
      <w:tr w:rsidR="00426359" w:rsidRPr="001E3386" w:rsidTr="00111EF8">
        <w:tc>
          <w:tcPr>
            <w:tcW w:w="3119" w:type="dxa"/>
            <w:shd w:val="clear" w:color="auto" w:fill="auto"/>
            <w:vAlign w:val="center"/>
          </w:tcPr>
          <w:p w:rsidR="00426359" w:rsidRPr="001E3386" w:rsidRDefault="006866C2" w:rsidP="00F304B8">
            <w:r w:rsidRPr="001E3386">
              <w:t>Срок оказания услуг</w:t>
            </w:r>
          </w:p>
        </w:tc>
        <w:tc>
          <w:tcPr>
            <w:tcW w:w="7088" w:type="dxa"/>
            <w:shd w:val="clear" w:color="auto" w:fill="auto"/>
          </w:tcPr>
          <w:p w:rsidR="00426359" w:rsidRPr="001E3386" w:rsidRDefault="00952FA1" w:rsidP="00E47445">
            <w:pPr>
              <w:jc w:val="both"/>
            </w:pPr>
            <w:r w:rsidRPr="001E3386">
              <w:t>На основании договора</w:t>
            </w:r>
          </w:p>
        </w:tc>
      </w:tr>
      <w:tr w:rsidR="00C249CD" w:rsidRPr="001E3386" w:rsidTr="00111EF8">
        <w:tc>
          <w:tcPr>
            <w:tcW w:w="3119" w:type="dxa"/>
            <w:shd w:val="clear" w:color="auto" w:fill="auto"/>
            <w:vAlign w:val="center"/>
          </w:tcPr>
          <w:p w:rsidR="00C249CD" w:rsidRPr="001E3386" w:rsidRDefault="00C249CD" w:rsidP="00F304B8">
            <w:r w:rsidRPr="001E3386">
              <w:lastRenderedPageBreak/>
              <w:t>Критерии</w:t>
            </w:r>
            <w:r w:rsidR="00FD4265" w:rsidRPr="001E3386">
              <w:t xml:space="preserve"> и способ</w:t>
            </w:r>
            <w:r w:rsidRPr="001E3386">
              <w:t xml:space="preserve"> оценки участников</w:t>
            </w:r>
            <w:r w:rsidR="0088322C" w:rsidRPr="001E3386">
              <w:t xml:space="preserve"> процедуры закупки</w:t>
            </w:r>
            <w:r w:rsidRPr="001E3386">
              <w:t>:</w:t>
            </w:r>
          </w:p>
        </w:tc>
        <w:tc>
          <w:tcPr>
            <w:tcW w:w="7088" w:type="dxa"/>
            <w:shd w:val="clear" w:color="auto" w:fill="auto"/>
          </w:tcPr>
          <w:p w:rsidR="00E332D2" w:rsidRPr="001E3386" w:rsidRDefault="00E332D2" w:rsidP="00E332D2">
            <w:pPr>
              <w:jc w:val="both"/>
            </w:pPr>
            <w:r w:rsidRPr="001E3386">
              <w:t>Победителем признается участник, предложивший наименьшую цену предмета закупки.</w:t>
            </w:r>
          </w:p>
          <w:p w:rsidR="00E332D2" w:rsidRPr="001E3386" w:rsidRDefault="00FE5585" w:rsidP="00E332D2">
            <w:pPr>
              <w:jc w:val="both"/>
            </w:pPr>
            <w:r w:rsidRPr="001E3386">
              <w:t xml:space="preserve">Сумма расходов Заказчика на приобретение предмета закупки (с учетом любых налогов, сборов и платежей, в том числе предусмотренных законодательством Республики Беларусь) не должна превысить </w:t>
            </w:r>
            <w:r w:rsidR="00350D1A" w:rsidRPr="001E3386">
              <w:t xml:space="preserve">ориентировочную </w:t>
            </w:r>
            <w:r w:rsidRPr="001E3386">
              <w:t>стоимость</w:t>
            </w:r>
            <w:r w:rsidR="00350D1A" w:rsidRPr="001E3386">
              <w:t xml:space="preserve"> предмета закупки</w:t>
            </w:r>
            <w:r w:rsidRPr="001E3386">
              <w:t>, у</w:t>
            </w:r>
            <w:r w:rsidR="00350D1A" w:rsidRPr="001E3386">
              <w:t>казанную в коммерческом</w:t>
            </w:r>
            <w:r w:rsidRPr="001E3386">
              <w:t xml:space="preserve"> предложении </w:t>
            </w:r>
            <w:r w:rsidR="00350D1A" w:rsidRPr="001E3386">
              <w:t>У</w:t>
            </w:r>
            <w:r w:rsidRPr="001E3386">
              <w:t xml:space="preserve">частника. </w:t>
            </w:r>
          </w:p>
          <w:p w:rsidR="00E332D2" w:rsidRPr="001E3386" w:rsidRDefault="00E332D2" w:rsidP="00E332D2">
            <w:pPr>
              <w:jc w:val="both"/>
            </w:pPr>
          </w:p>
          <w:p w:rsidR="007369AE" w:rsidRPr="001E3386" w:rsidRDefault="00FE5585" w:rsidP="00E332D2">
            <w:pPr>
              <w:jc w:val="both"/>
            </w:pPr>
            <w:r w:rsidRPr="001E3386">
              <w:t xml:space="preserve">Указанные в коммерческом предложении цены являются окончательными. Изменение стоимости предмета закупки, </w:t>
            </w:r>
            <w:r w:rsidR="00350D1A" w:rsidRPr="001E3386">
              <w:t xml:space="preserve">указанной в коммерческом </w:t>
            </w:r>
            <w:r w:rsidRPr="001E3386">
              <w:t xml:space="preserve">предложении, возможно только при проведении переговоров по снижению цены. </w:t>
            </w:r>
          </w:p>
        </w:tc>
      </w:tr>
      <w:tr w:rsidR="000D15EB" w:rsidRPr="001E3386" w:rsidTr="00111EF8">
        <w:tc>
          <w:tcPr>
            <w:tcW w:w="3119" w:type="dxa"/>
            <w:shd w:val="clear" w:color="auto" w:fill="auto"/>
            <w:vAlign w:val="center"/>
          </w:tcPr>
          <w:p w:rsidR="008F7E12" w:rsidRPr="001E3386" w:rsidRDefault="00E115C5" w:rsidP="00F304B8">
            <w:r w:rsidRPr="001E3386">
              <w:t>Квалификационные</w:t>
            </w:r>
            <w:r w:rsidR="008F7E12" w:rsidRPr="001E3386">
              <w:t>/</w:t>
            </w:r>
          </w:p>
          <w:p w:rsidR="000D15EB" w:rsidRPr="001E3386" w:rsidRDefault="008F7E12" w:rsidP="00F304B8">
            <w:r w:rsidRPr="001E3386">
              <w:t>технические</w:t>
            </w:r>
            <w:r w:rsidR="00E115C5" w:rsidRPr="001E3386">
              <w:t xml:space="preserve"> т</w:t>
            </w:r>
            <w:r w:rsidR="000D15EB" w:rsidRPr="001E3386">
              <w:t>ребования к участникам:</w:t>
            </w:r>
          </w:p>
        </w:tc>
        <w:tc>
          <w:tcPr>
            <w:tcW w:w="7088" w:type="dxa"/>
            <w:shd w:val="clear" w:color="auto" w:fill="auto"/>
          </w:tcPr>
          <w:p w:rsidR="008F7E12" w:rsidRPr="001E3386" w:rsidRDefault="008F7E12" w:rsidP="008F7E12">
            <w:pPr>
              <w:jc w:val="both"/>
            </w:pPr>
            <w:r w:rsidRPr="001E3386">
              <w:rPr>
                <w:u w:val="single"/>
              </w:rPr>
              <w:t>Требования к техническим возможностям Участника</w:t>
            </w:r>
            <w:r w:rsidRPr="001E3386">
              <w:t>:</w:t>
            </w:r>
          </w:p>
          <w:p w:rsidR="008F7E12" w:rsidRPr="001E3386" w:rsidRDefault="008F7E12" w:rsidP="008F7E12">
            <w:pPr>
              <w:jc w:val="both"/>
            </w:pPr>
            <w:r w:rsidRPr="001E3386">
              <w:t>1</w:t>
            </w:r>
            <w:r w:rsidR="00E332D2" w:rsidRPr="001E3386">
              <w:t xml:space="preserve"> Сертификацию имеет право проводить компания имеющая статус </w:t>
            </w:r>
            <w:r w:rsidR="00E332D2" w:rsidRPr="001E3386">
              <w:rPr>
                <w:lang w:val="en-US"/>
              </w:rPr>
              <w:t>QSA</w:t>
            </w:r>
            <w:r w:rsidR="00E332D2" w:rsidRPr="001E3386">
              <w:t xml:space="preserve"> (</w:t>
            </w:r>
            <w:r w:rsidR="00E332D2" w:rsidRPr="001E3386">
              <w:rPr>
                <w:lang w:val="en-US"/>
              </w:rPr>
              <w:t>Qualified</w:t>
            </w:r>
            <w:r w:rsidR="00E332D2" w:rsidRPr="001E3386">
              <w:t xml:space="preserve"> </w:t>
            </w:r>
            <w:r w:rsidR="00E332D2" w:rsidRPr="001E3386">
              <w:rPr>
                <w:lang w:val="en-US"/>
              </w:rPr>
              <w:t>Security</w:t>
            </w:r>
            <w:r w:rsidR="00E332D2" w:rsidRPr="001E3386">
              <w:t xml:space="preserve"> </w:t>
            </w:r>
            <w:r w:rsidR="00E332D2" w:rsidRPr="001E3386">
              <w:rPr>
                <w:lang w:val="en-US"/>
              </w:rPr>
              <w:t>Assessors</w:t>
            </w:r>
            <w:r w:rsidR="00E332D2" w:rsidRPr="001E3386">
              <w:t xml:space="preserve">), для проведения ежеквартального тестирования организация должна обладать статусом </w:t>
            </w:r>
            <w:r w:rsidR="00E332D2" w:rsidRPr="001E3386">
              <w:rPr>
                <w:lang w:val="en-US"/>
              </w:rPr>
              <w:t>ASV</w:t>
            </w:r>
            <w:r w:rsidR="00E332D2" w:rsidRPr="001E3386">
              <w:t xml:space="preserve"> (</w:t>
            </w:r>
            <w:r w:rsidR="00E332D2" w:rsidRPr="001E3386">
              <w:rPr>
                <w:lang w:val="en-US"/>
              </w:rPr>
              <w:t>Approved</w:t>
            </w:r>
            <w:r w:rsidR="00E332D2" w:rsidRPr="001E3386">
              <w:t xml:space="preserve"> </w:t>
            </w:r>
            <w:r w:rsidR="00E332D2" w:rsidRPr="001E3386">
              <w:rPr>
                <w:lang w:val="en-US"/>
              </w:rPr>
              <w:t>Scanning</w:t>
            </w:r>
            <w:r w:rsidR="00E332D2" w:rsidRPr="001E3386">
              <w:t xml:space="preserve"> </w:t>
            </w:r>
            <w:r w:rsidR="00E332D2" w:rsidRPr="001E3386">
              <w:rPr>
                <w:lang w:val="en-US"/>
              </w:rPr>
              <w:t>Vendors</w:t>
            </w:r>
            <w:r w:rsidR="00E332D2" w:rsidRPr="001E3386">
              <w:t>) (д</w:t>
            </w:r>
            <w:r w:rsidR="0006148B" w:rsidRPr="001E3386">
              <w:t>етальные требования изложены в П</w:t>
            </w:r>
            <w:r w:rsidR="00E332D2" w:rsidRPr="001E3386">
              <w:t>риложении</w:t>
            </w:r>
            <w:r w:rsidR="0006148B" w:rsidRPr="001E3386">
              <w:t xml:space="preserve"> 1</w:t>
            </w:r>
            <w:r w:rsidR="00E332D2" w:rsidRPr="001E3386">
              <w:t>).</w:t>
            </w:r>
          </w:p>
          <w:p w:rsidR="00237E76" w:rsidRPr="001E3386" w:rsidRDefault="00237E76" w:rsidP="008F7E12">
            <w:pPr>
              <w:jc w:val="both"/>
              <w:rPr>
                <w:u w:val="single"/>
              </w:rPr>
            </w:pPr>
            <w:r w:rsidRPr="001E3386">
              <w:rPr>
                <w:u w:val="single"/>
              </w:rPr>
              <w:t>Требования к квалификационным возможностям Участника:</w:t>
            </w:r>
          </w:p>
          <w:p w:rsidR="00E332D2" w:rsidRPr="001E3386" w:rsidRDefault="00E332D2" w:rsidP="00E332D2">
            <w:pPr>
              <w:jc w:val="both"/>
            </w:pPr>
            <w:r w:rsidRPr="001E3386">
              <w:t>1. Исполнитель должен не менее 3 (Трех) лет обладать статусом Qualified Security Assessor (QSA), позволяющими проводить работы в регионе CEMEA:</w:t>
            </w:r>
          </w:p>
          <w:p w:rsidR="00E332D2" w:rsidRPr="001E3386" w:rsidRDefault="00E332D2" w:rsidP="00E332D2">
            <w:pPr>
              <w:jc w:val="both"/>
            </w:pPr>
            <w:r w:rsidRPr="001E3386">
              <w:t>Срок действия статуса должен быть подтвержден письмом от регулирующей организации или в виде договора с МПС.</w:t>
            </w:r>
          </w:p>
          <w:p w:rsidR="00E332D2" w:rsidRPr="001E3386" w:rsidRDefault="00E332D2" w:rsidP="00E332D2">
            <w:pPr>
              <w:jc w:val="both"/>
            </w:pPr>
          </w:p>
          <w:p w:rsidR="00E332D2" w:rsidRPr="001E3386" w:rsidRDefault="00E332D2" w:rsidP="00E332D2">
            <w:pPr>
              <w:jc w:val="both"/>
            </w:pPr>
            <w:r w:rsidRPr="001E3386">
              <w:t>Подтверждением статусов должно быть нахождение компании (аудиторов) в актуальных списках сертифицированных аудиторов:</w:t>
            </w:r>
          </w:p>
          <w:p w:rsidR="00E332D2" w:rsidRPr="001E3386" w:rsidRDefault="00E332D2" w:rsidP="00E332D2">
            <w:pPr>
              <w:jc w:val="both"/>
              <w:rPr>
                <w:lang w:val="en-US"/>
              </w:rPr>
            </w:pPr>
            <w:r w:rsidRPr="001E3386">
              <w:rPr>
                <w:lang w:val="en-US"/>
              </w:rPr>
              <w:t>Payment Card Industry Security Standards Council:</w:t>
            </w:r>
          </w:p>
          <w:p w:rsidR="00E332D2" w:rsidRPr="001E3386" w:rsidRDefault="00E332D2" w:rsidP="00E332D2">
            <w:pPr>
              <w:jc w:val="both"/>
              <w:rPr>
                <w:lang w:val="en-US"/>
              </w:rPr>
            </w:pPr>
            <w:r w:rsidRPr="001E3386">
              <w:rPr>
                <w:lang w:val="en-US"/>
              </w:rPr>
              <w:t>https://www.pcisecuritystandards.org/assessors_and_solutions/qualified_security_assessors</w:t>
            </w:r>
          </w:p>
          <w:p w:rsidR="00E332D2" w:rsidRPr="001E3386" w:rsidRDefault="00E332D2" w:rsidP="00E332D2">
            <w:pPr>
              <w:jc w:val="both"/>
            </w:pPr>
            <w:r w:rsidRPr="001E3386">
              <w:t>Не допускается привлечение подрядных организаций для проведения работ.</w:t>
            </w:r>
          </w:p>
          <w:p w:rsidR="00E332D2" w:rsidRPr="001E3386" w:rsidRDefault="00E332D2" w:rsidP="00E332D2">
            <w:pPr>
              <w:jc w:val="both"/>
            </w:pPr>
          </w:p>
          <w:p w:rsidR="00E332D2" w:rsidRPr="001E3386" w:rsidRDefault="00E332D2" w:rsidP="00E332D2">
            <w:pPr>
              <w:jc w:val="both"/>
            </w:pPr>
            <w:r w:rsidRPr="001E3386">
              <w:t>2. Компания-исполнитель должна иметь подтверждённый опыт аудита и консалтинга в области информационной безопасности корпоративных информационных систем по оценке соответствия требованиям стандарта PCI DSS в различных Банках и процессинговых центрах (предоставляются резюме):</w:t>
            </w:r>
          </w:p>
          <w:p w:rsidR="00E332D2" w:rsidRPr="001E3386" w:rsidRDefault="00E332D2" w:rsidP="00E332D2">
            <w:pPr>
              <w:jc w:val="both"/>
            </w:pPr>
            <w:r w:rsidRPr="001E3386">
              <w:t>- не менее 5-ти завершенных работ по оценке соответствия требованиям стандарта PCI DSS (результаты приняты МПС и выданы сертификаты соответствия).</w:t>
            </w:r>
          </w:p>
          <w:p w:rsidR="00E332D2" w:rsidRPr="001E3386" w:rsidRDefault="00E332D2" w:rsidP="00E332D2">
            <w:pPr>
              <w:jc w:val="both"/>
            </w:pPr>
          </w:p>
          <w:p w:rsidR="00E332D2" w:rsidRPr="001E3386" w:rsidRDefault="00E332D2" w:rsidP="00E332D2">
            <w:pPr>
              <w:jc w:val="both"/>
            </w:pPr>
            <w:r w:rsidRPr="001E3386">
              <w:t xml:space="preserve">3. Все члены команды исполнителя должны иметь высшее профильное (IT) образование. </w:t>
            </w:r>
          </w:p>
          <w:p w:rsidR="00E332D2" w:rsidRPr="001E3386" w:rsidRDefault="00E332D2" w:rsidP="00E332D2">
            <w:pPr>
              <w:jc w:val="both"/>
            </w:pPr>
          </w:p>
          <w:p w:rsidR="00E332D2" w:rsidRPr="001E3386" w:rsidRDefault="00E332D2" w:rsidP="00E332D2">
            <w:pPr>
              <w:jc w:val="both"/>
            </w:pPr>
            <w:r w:rsidRPr="001E3386">
              <w:t>4. Среди членов команды должны быть представлены специалисты</w:t>
            </w:r>
            <w:r w:rsidR="00C26535" w:rsidRPr="001E3386">
              <w:t>,</w:t>
            </w:r>
            <w:r w:rsidRPr="001E3386">
              <w:t xml:space="preserve"> обладающие подтверждёнными компетенциями в области информационной безопасности:</w:t>
            </w:r>
          </w:p>
          <w:p w:rsidR="00E332D2" w:rsidRPr="001E3386" w:rsidRDefault="00E332D2" w:rsidP="00E332D2">
            <w:pPr>
              <w:jc w:val="both"/>
            </w:pPr>
            <w:r w:rsidRPr="001E3386">
              <w:t>- наличие в штате сертифицированных специалистов, обладающих статусом Qualified Security Assessor (QSA) – не менее 2 (Копия сертификатов специалистов, резюме специалистов)</w:t>
            </w:r>
            <w:r w:rsidR="00C26535" w:rsidRPr="001E3386">
              <w:t>;</w:t>
            </w:r>
          </w:p>
          <w:p w:rsidR="00E332D2" w:rsidRPr="001E3386" w:rsidRDefault="00E332D2" w:rsidP="00E332D2">
            <w:pPr>
              <w:jc w:val="both"/>
            </w:pPr>
            <w:r w:rsidRPr="001E3386">
              <w:lastRenderedPageBreak/>
              <w:t>- наличие в штате сертифицированных специалистов, обладающих статусом Certified Information Systems Security Professional (CISSP) – не менее 1 (Копия сертификатов специалистов)</w:t>
            </w:r>
            <w:r w:rsidR="00C26535" w:rsidRPr="001E3386">
              <w:t>;</w:t>
            </w:r>
          </w:p>
          <w:p w:rsidR="00E332D2" w:rsidRPr="001E3386" w:rsidRDefault="00E332D2" w:rsidP="00E332D2">
            <w:pPr>
              <w:jc w:val="both"/>
            </w:pPr>
            <w:r w:rsidRPr="001E3386">
              <w:t xml:space="preserve">- наличие в штате специалистов, обладающих статусом Certified Security </w:t>
            </w:r>
            <w:r w:rsidRPr="001E3386">
              <w:rPr>
                <w:lang w:val="en-US"/>
              </w:rPr>
              <w:t>Ethical</w:t>
            </w:r>
            <w:r w:rsidRPr="001E3386">
              <w:t xml:space="preserve"> </w:t>
            </w:r>
            <w:r w:rsidRPr="001E3386">
              <w:rPr>
                <w:lang w:val="en-US"/>
              </w:rPr>
              <w:t>Hacker</w:t>
            </w:r>
            <w:r w:rsidRPr="001E3386">
              <w:t xml:space="preserve"> (</w:t>
            </w:r>
            <w:r w:rsidRPr="001E3386">
              <w:rPr>
                <w:lang w:val="en-US"/>
              </w:rPr>
              <w:t>CEH</w:t>
            </w:r>
            <w:r w:rsidRPr="001E3386">
              <w:t>) – не менее 1 (</w:t>
            </w:r>
            <w:r w:rsidR="00062AB6" w:rsidRPr="001E3386">
              <w:t>Копия сертификатов специалистов</w:t>
            </w:r>
            <w:r w:rsidRPr="001E3386">
              <w:t>)</w:t>
            </w:r>
            <w:r w:rsidR="00062AB6" w:rsidRPr="001E3386">
              <w:t>.</w:t>
            </w:r>
          </w:p>
          <w:p w:rsidR="00062AB6" w:rsidRPr="001E3386" w:rsidRDefault="00062AB6" w:rsidP="00E332D2">
            <w:pPr>
              <w:jc w:val="both"/>
            </w:pPr>
          </w:p>
          <w:p w:rsidR="00E332D2" w:rsidRPr="001E3386" w:rsidRDefault="00E332D2" w:rsidP="00E332D2">
            <w:pPr>
              <w:jc w:val="both"/>
            </w:pPr>
            <w:r w:rsidRPr="001E3386">
              <w:t xml:space="preserve">5. Среди членов команды исполнителя должны быть сотрудники владеющие русским и английским языком, с уровнем носитель или выше среднего (Upper-Intermediate) / Продвинутый (Advanced) . </w:t>
            </w:r>
          </w:p>
          <w:p w:rsidR="009B7B5C" w:rsidRPr="001E3386" w:rsidRDefault="009B7B5C" w:rsidP="009673A9">
            <w:pPr>
              <w:jc w:val="both"/>
            </w:pPr>
          </w:p>
        </w:tc>
      </w:tr>
      <w:tr w:rsidR="00004EE8" w:rsidRPr="001E3386" w:rsidTr="00111EF8">
        <w:tc>
          <w:tcPr>
            <w:tcW w:w="3119" w:type="dxa"/>
            <w:shd w:val="clear" w:color="auto" w:fill="auto"/>
            <w:vAlign w:val="center"/>
          </w:tcPr>
          <w:p w:rsidR="00004EE8" w:rsidRPr="001E3386" w:rsidRDefault="00004EE8" w:rsidP="00F304B8">
            <w:r w:rsidRPr="001E3386">
              <w:lastRenderedPageBreak/>
              <w:t>Обязательные условия к предоставлению коммерческого предложения:</w:t>
            </w:r>
          </w:p>
        </w:tc>
        <w:tc>
          <w:tcPr>
            <w:tcW w:w="7088" w:type="dxa"/>
            <w:shd w:val="clear" w:color="auto" w:fill="auto"/>
          </w:tcPr>
          <w:p w:rsidR="00110626" w:rsidRPr="001E3386" w:rsidRDefault="00110626" w:rsidP="00110626">
            <w:pPr>
              <w:autoSpaceDE w:val="0"/>
              <w:autoSpaceDN w:val="0"/>
              <w:adjustRightInd w:val="0"/>
              <w:jc w:val="both"/>
            </w:pPr>
            <w:r w:rsidRPr="001E3386">
              <w:t>Участник представляет коммерческое предложение по предмету закупк</w:t>
            </w:r>
            <w:r w:rsidR="002F1503" w:rsidRPr="001E3386">
              <w:t xml:space="preserve">и в соответствии с Приложением </w:t>
            </w:r>
            <w:r w:rsidRPr="001E3386">
              <w:t>1 к Приглашению и общей стоимости работ (услуг) в BYN с НДС.</w:t>
            </w:r>
          </w:p>
          <w:p w:rsidR="00110626" w:rsidRPr="001E3386" w:rsidRDefault="00110626" w:rsidP="00110626">
            <w:pPr>
              <w:autoSpaceDE w:val="0"/>
              <w:autoSpaceDN w:val="0"/>
              <w:adjustRightInd w:val="0"/>
              <w:jc w:val="both"/>
            </w:pPr>
            <w:r w:rsidRPr="001E3386">
              <w:t xml:space="preserve"> Не допускается предоставление коммерческого предложения с указанием диапазонов стоимости услуг и сроков оказания услуг.</w:t>
            </w:r>
          </w:p>
          <w:p w:rsidR="00F208B7" w:rsidRPr="001E3386" w:rsidRDefault="00110626" w:rsidP="00110626">
            <w:pPr>
              <w:autoSpaceDE w:val="0"/>
              <w:autoSpaceDN w:val="0"/>
              <w:adjustRightInd w:val="0"/>
              <w:jc w:val="both"/>
              <w:rPr>
                <w:i/>
              </w:rPr>
            </w:pPr>
            <w:r w:rsidRPr="001E3386">
              <w:t>Если в коммерческом предложении участника указаны не все позиции, то такое предложение отклоняется как несоответствующее требованиям документов процедуры закупки.</w:t>
            </w:r>
          </w:p>
        </w:tc>
      </w:tr>
      <w:tr w:rsidR="00E115C5" w:rsidRPr="001E3386" w:rsidTr="00111EF8">
        <w:tc>
          <w:tcPr>
            <w:tcW w:w="3119" w:type="dxa"/>
            <w:shd w:val="clear" w:color="auto" w:fill="auto"/>
            <w:vAlign w:val="center"/>
          </w:tcPr>
          <w:p w:rsidR="0067192F" w:rsidRPr="001E3386" w:rsidRDefault="0067192F" w:rsidP="00F304B8"/>
          <w:p w:rsidR="00E115C5" w:rsidRPr="001E3386" w:rsidRDefault="0067192F" w:rsidP="00F304B8">
            <w:r w:rsidRPr="001E3386">
              <w:t>Т</w:t>
            </w:r>
            <w:r w:rsidR="00E115C5" w:rsidRPr="001E3386">
              <w:t>ребования Заказчика</w:t>
            </w:r>
            <w:r w:rsidRPr="001E3386">
              <w:t xml:space="preserve"> к оформлению коммерческого предложения</w:t>
            </w:r>
          </w:p>
        </w:tc>
        <w:tc>
          <w:tcPr>
            <w:tcW w:w="7088" w:type="dxa"/>
            <w:shd w:val="clear" w:color="auto" w:fill="auto"/>
          </w:tcPr>
          <w:p w:rsidR="000F0BC8" w:rsidRPr="001E3386" w:rsidRDefault="000F0BC8" w:rsidP="000F0BC8">
            <w:pPr>
              <w:autoSpaceDE w:val="0"/>
              <w:autoSpaceDN w:val="0"/>
              <w:adjustRightInd w:val="0"/>
              <w:jc w:val="both"/>
            </w:pPr>
            <w:r w:rsidRPr="001E3386">
              <w:rPr>
                <w:b/>
              </w:rPr>
              <w:t>Коммерческое предложение</w:t>
            </w:r>
            <w:r w:rsidRPr="001E3386">
              <w:t xml:space="preserve"> должно быть представлено на фирменном бланке участника и содержать:</w:t>
            </w:r>
          </w:p>
          <w:p w:rsidR="000F0BC8" w:rsidRPr="001E3386" w:rsidRDefault="000F0BC8" w:rsidP="000F0BC8">
            <w:pPr>
              <w:pStyle w:val="aa"/>
              <w:numPr>
                <w:ilvl w:val="0"/>
                <w:numId w:val="5"/>
              </w:numPr>
              <w:autoSpaceDE w:val="0"/>
              <w:autoSpaceDN w:val="0"/>
              <w:adjustRightInd w:val="0"/>
              <w:jc w:val="both"/>
            </w:pPr>
            <w:r w:rsidRPr="001E3386">
              <w:t>полное наименование участника - для юридического лица;</w:t>
            </w:r>
          </w:p>
          <w:p w:rsidR="000F0BC8" w:rsidRPr="001E3386" w:rsidRDefault="000F0BC8" w:rsidP="000F0BC8">
            <w:pPr>
              <w:pStyle w:val="aa"/>
              <w:numPr>
                <w:ilvl w:val="0"/>
                <w:numId w:val="5"/>
              </w:numPr>
              <w:autoSpaceDE w:val="0"/>
              <w:autoSpaceDN w:val="0"/>
              <w:adjustRightInd w:val="0"/>
              <w:jc w:val="both"/>
            </w:pPr>
            <w:r w:rsidRPr="001E3386">
              <w:t>сфера деятельности участника;</w:t>
            </w:r>
          </w:p>
          <w:p w:rsidR="000F0BC8" w:rsidRPr="001E3386" w:rsidRDefault="000F0BC8" w:rsidP="000F0BC8">
            <w:pPr>
              <w:pStyle w:val="aa"/>
              <w:numPr>
                <w:ilvl w:val="0"/>
                <w:numId w:val="5"/>
              </w:numPr>
              <w:autoSpaceDE w:val="0"/>
              <w:autoSpaceDN w:val="0"/>
              <w:adjustRightInd w:val="0"/>
              <w:jc w:val="both"/>
            </w:pPr>
            <w:r w:rsidRPr="001E3386">
              <w:t>УНП и т.п. сведения участника;</w:t>
            </w:r>
          </w:p>
          <w:p w:rsidR="000F0BC8" w:rsidRPr="001E3386" w:rsidRDefault="000F0BC8" w:rsidP="000F0BC8">
            <w:pPr>
              <w:pStyle w:val="aa"/>
              <w:numPr>
                <w:ilvl w:val="0"/>
                <w:numId w:val="5"/>
              </w:numPr>
              <w:autoSpaceDE w:val="0"/>
              <w:autoSpaceDN w:val="0"/>
              <w:adjustRightInd w:val="0"/>
              <w:jc w:val="both"/>
            </w:pPr>
            <w:r w:rsidRPr="001E3386">
              <w:t>юридический адрес участника, его почтовый адрес (в случае если он не совпадает с юридическим адресом);</w:t>
            </w:r>
          </w:p>
          <w:p w:rsidR="000F0BC8" w:rsidRPr="001E3386" w:rsidRDefault="000F0BC8" w:rsidP="000F0BC8">
            <w:pPr>
              <w:pStyle w:val="aa"/>
              <w:numPr>
                <w:ilvl w:val="0"/>
                <w:numId w:val="5"/>
              </w:numPr>
              <w:autoSpaceDE w:val="0"/>
              <w:autoSpaceDN w:val="0"/>
              <w:adjustRightInd w:val="0"/>
              <w:jc w:val="both"/>
            </w:pPr>
            <w:r w:rsidRPr="001E3386">
              <w:t>должность, фамилию, имя, отчество (если таковое имеется) руководителя (либо уполномоченного на подписание коммерческого предложения (договора) лица), с приложением в случае необходимости документа, подтверждающего данные полномочия;</w:t>
            </w:r>
          </w:p>
          <w:p w:rsidR="000F0BC8" w:rsidRPr="001E3386" w:rsidRDefault="000F0BC8" w:rsidP="000F0BC8">
            <w:pPr>
              <w:pStyle w:val="aa"/>
              <w:numPr>
                <w:ilvl w:val="0"/>
                <w:numId w:val="5"/>
              </w:numPr>
              <w:autoSpaceDE w:val="0"/>
              <w:autoSpaceDN w:val="0"/>
              <w:adjustRightInd w:val="0"/>
              <w:jc w:val="both"/>
            </w:pPr>
            <w:r w:rsidRPr="001E3386">
              <w:t>фамилию, имя и отчество (если таковое имеется) контактного лица (при наличии);</w:t>
            </w:r>
          </w:p>
          <w:p w:rsidR="000F0BC8" w:rsidRPr="001E3386" w:rsidRDefault="000F0BC8" w:rsidP="000F0BC8">
            <w:pPr>
              <w:pStyle w:val="aa"/>
              <w:numPr>
                <w:ilvl w:val="0"/>
                <w:numId w:val="5"/>
              </w:numPr>
              <w:autoSpaceDE w:val="0"/>
              <w:autoSpaceDN w:val="0"/>
              <w:adjustRightInd w:val="0"/>
              <w:jc w:val="both"/>
            </w:pPr>
            <w:r w:rsidRPr="001E3386">
              <w:t>адрес электронной почты (при наличии);</w:t>
            </w:r>
          </w:p>
          <w:p w:rsidR="000F0BC8" w:rsidRPr="001E3386" w:rsidRDefault="000F0BC8" w:rsidP="000F0BC8">
            <w:pPr>
              <w:pStyle w:val="aa"/>
              <w:numPr>
                <w:ilvl w:val="0"/>
                <w:numId w:val="5"/>
              </w:numPr>
              <w:autoSpaceDE w:val="0"/>
              <w:autoSpaceDN w:val="0"/>
              <w:adjustRightInd w:val="0"/>
              <w:jc w:val="both"/>
            </w:pPr>
            <w:r w:rsidRPr="001E3386">
              <w:t>номер телефона участника;</w:t>
            </w:r>
          </w:p>
          <w:p w:rsidR="009673A9" w:rsidRPr="001E3386" w:rsidRDefault="009673A9" w:rsidP="009673A9">
            <w:pPr>
              <w:pStyle w:val="aa"/>
              <w:numPr>
                <w:ilvl w:val="0"/>
                <w:numId w:val="5"/>
              </w:numPr>
              <w:autoSpaceDE w:val="0"/>
              <w:autoSpaceDN w:val="0"/>
              <w:adjustRightInd w:val="0"/>
              <w:jc w:val="both"/>
            </w:pPr>
            <w:r w:rsidRPr="001E3386">
              <w:t xml:space="preserve">общую стоимость услуг </w:t>
            </w:r>
            <w:r w:rsidR="001A73D6" w:rsidRPr="001E3386">
              <w:t xml:space="preserve">по предмету закупки </w:t>
            </w:r>
            <w:r w:rsidRPr="001E3386">
              <w:t>(исходя из</w:t>
            </w:r>
            <w:r w:rsidR="00062AB6" w:rsidRPr="001E3386">
              <w:t xml:space="preserve"> Приложения 1</w:t>
            </w:r>
            <w:r w:rsidRPr="001E3386">
              <w:t>);</w:t>
            </w:r>
          </w:p>
          <w:p w:rsidR="000F0BC8" w:rsidRPr="001E3386" w:rsidRDefault="000F0BC8" w:rsidP="009673A9">
            <w:pPr>
              <w:pStyle w:val="aa"/>
              <w:numPr>
                <w:ilvl w:val="0"/>
                <w:numId w:val="5"/>
              </w:numPr>
              <w:autoSpaceDE w:val="0"/>
              <w:autoSpaceDN w:val="0"/>
              <w:adjustRightInd w:val="0"/>
              <w:jc w:val="both"/>
            </w:pPr>
            <w:r w:rsidRPr="001E3386">
              <w:t xml:space="preserve">условия оказания услуг; </w:t>
            </w:r>
          </w:p>
          <w:p w:rsidR="00062AB6" w:rsidRPr="001E3386" w:rsidRDefault="000F0BC8" w:rsidP="00062AB6">
            <w:pPr>
              <w:pStyle w:val="aa"/>
              <w:numPr>
                <w:ilvl w:val="0"/>
                <w:numId w:val="5"/>
              </w:numPr>
              <w:autoSpaceDE w:val="0"/>
              <w:autoSpaceDN w:val="0"/>
              <w:adjustRightInd w:val="0"/>
              <w:jc w:val="both"/>
            </w:pPr>
            <w:r w:rsidRPr="001E3386">
              <w:t xml:space="preserve"> усл</w:t>
            </w:r>
            <w:r w:rsidR="00062AB6" w:rsidRPr="001E3386">
              <w:t>овия оплаты.</w:t>
            </w:r>
          </w:p>
          <w:p w:rsidR="000F0BC8" w:rsidRPr="001E3386" w:rsidRDefault="000F0BC8" w:rsidP="00062AB6">
            <w:pPr>
              <w:autoSpaceDE w:val="0"/>
              <w:autoSpaceDN w:val="0"/>
              <w:adjustRightInd w:val="0"/>
              <w:ind w:firstLine="459"/>
              <w:jc w:val="both"/>
            </w:pPr>
            <w:r w:rsidRPr="001E3386">
              <w:t>Коммерческое предложение, сопутствующая корреспонденция и документация должны быть представлены участником на русском (белорусском) языке.</w:t>
            </w:r>
          </w:p>
          <w:p w:rsidR="000F0BC8" w:rsidRPr="001E3386" w:rsidRDefault="000F0BC8" w:rsidP="000F0BC8">
            <w:pPr>
              <w:autoSpaceDE w:val="0"/>
              <w:autoSpaceDN w:val="0"/>
              <w:adjustRightInd w:val="0"/>
              <w:ind w:firstLine="459"/>
              <w:jc w:val="both"/>
            </w:pPr>
            <w:r w:rsidRPr="001E3386">
              <w:t>В коммерческом предложении не должно быть никаких вставок между строк, подтирок или приписок, за исключением необходимых исправлений ошибок, сделанных участником; исправления должны быть подписаны лицом, подписывающим коммерческое предложение;</w:t>
            </w:r>
          </w:p>
          <w:p w:rsidR="000F0BC8" w:rsidRPr="001E3386" w:rsidRDefault="000F0BC8" w:rsidP="000F0BC8">
            <w:pPr>
              <w:autoSpaceDE w:val="0"/>
              <w:autoSpaceDN w:val="0"/>
              <w:adjustRightInd w:val="0"/>
              <w:jc w:val="both"/>
            </w:pPr>
            <w:r w:rsidRPr="001E3386">
              <w:t>Коммерческое предложение должно:</w:t>
            </w:r>
          </w:p>
          <w:p w:rsidR="000F0BC8" w:rsidRPr="001E3386" w:rsidRDefault="000F0BC8" w:rsidP="000F0BC8">
            <w:pPr>
              <w:pStyle w:val="aa"/>
              <w:numPr>
                <w:ilvl w:val="0"/>
                <w:numId w:val="3"/>
              </w:numPr>
              <w:autoSpaceDE w:val="0"/>
              <w:autoSpaceDN w:val="0"/>
              <w:adjustRightInd w:val="0"/>
              <w:jc w:val="both"/>
            </w:pPr>
            <w:r w:rsidRPr="001E3386">
              <w:t>иметь нумерацию страниц;</w:t>
            </w:r>
          </w:p>
          <w:p w:rsidR="000F0BC8" w:rsidRPr="001E3386" w:rsidRDefault="000F0BC8" w:rsidP="000F0BC8">
            <w:pPr>
              <w:pStyle w:val="aa"/>
              <w:numPr>
                <w:ilvl w:val="0"/>
                <w:numId w:val="3"/>
              </w:numPr>
              <w:autoSpaceDE w:val="0"/>
              <w:autoSpaceDN w:val="0"/>
              <w:adjustRightInd w:val="0"/>
              <w:jc w:val="both"/>
            </w:pPr>
            <w:r w:rsidRPr="001E3386">
              <w:t xml:space="preserve">быть подписано руководителем (уполномоченным должностным лицом); </w:t>
            </w:r>
          </w:p>
          <w:p w:rsidR="000F0BC8" w:rsidRPr="001E3386" w:rsidRDefault="000F0BC8" w:rsidP="000F0BC8">
            <w:pPr>
              <w:pStyle w:val="aa"/>
              <w:numPr>
                <w:ilvl w:val="0"/>
                <w:numId w:val="3"/>
              </w:numPr>
              <w:autoSpaceDE w:val="0"/>
              <w:autoSpaceDN w:val="0"/>
              <w:adjustRightInd w:val="0"/>
              <w:jc w:val="both"/>
            </w:pPr>
            <w:r w:rsidRPr="001E3386">
              <w:t>заверено печатью (при наличии).</w:t>
            </w:r>
          </w:p>
          <w:p w:rsidR="000F0BC8" w:rsidRPr="001E3386" w:rsidRDefault="000F0BC8" w:rsidP="000F0BC8">
            <w:pPr>
              <w:autoSpaceDE w:val="0"/>
              <w:autoSpaceDN w:val="0"/>
              <w:adjustRightInd w:val="0"/>
              <w:jc w:val="both"/>
            </w:pPr>
            <w:r w:rsidRPr="001E3386">
              <w:rPr>
                <w:b/>
                <w:u w:val="single"/>
              </w:rPr>
              <w:t>Приложени</w:t>
            </w:r>
            <w:r w:rsidR="00E0682E" w:rsidRPr="001E3386">
              <w:rPr>
                <w:b/>
                <w:u w:val="single"/>
              </w:rPr>
              <w:t>я</w:t>
            </w:r>
            <w:r w:rsidRPr="001E3386">
              <w:rPr>
                <w:b/>
                <w:u w:val="single"/>
              </w:rPr>
              <w:t xml:space="preserve"> к коммерческому предложению</w:t>
            </w:r>
            <w:r w:rsidRPr="001E3386">
              <w:t>:</w:t>
            </w:r>
          </w:p>
          <w:p w:rsidR="000F0BC8" w:rsidRPr="001E3386" w:rsidRDefault="000F0BC8" w:rsidP="000F0BC8">
            <w:pPr>
              <w:pStyle w:val="aa"/>
              <w:numPr>
                <w:ilvl w:val="0"/>
                <w:numId w:val="4"/>
              </w:numPr>
              <w:autoSpaceDE w:val="0"/>
              <w:autoSpaceDN w:val="0"/>
              <w:adjustRightInd w:val="0"/>
              <w:jc w:val="both"/>
            </w:pPr>
            <w:r w:rsidRPr="001E3386">
              <w:lastRenderedPageBreak/>
              <w:t>учредительные документы;</w:t>
            </w:r>
          </w:p>
          <w:p w:rsidR="000F0BC8" w:rsidRPr="001E3386" w:rsidRDefault="000F0BC8" w:rsidP="000F0BC8">
            <w:pPr>
              <w:pStyle w:val="aa"/>
              <w:numPr>
                <w:ilvl w:val="0"/>
                <w:numId w:val="4"/>
              </w:numPr>
              <w:autoSpaceDE w:val="0"/>
              <w:autoSpaceDN w:val="0"/>
              <w:adjustRightInd w:val="0"/>
              <w:jc w:val="both"/>
            </w:pPr>
            <w:r w:rsidRPr="001E3386">
              <w:t>свидетельство о государственной регистрации;</w:t>
            </w:r>
          </w:p>
          <w:p w:rsidR="000F0BC8" w:rsidRPr="001E3386" w:rsidRDefault="000F0BC8" w:rsidP="000F0BC8">
            <w:pPr>
              <w:pStyle w:val="aa"/>
              <w:numPr>
                <w:ilvl w:val="0"/>
                <w:numId w:val="4"/>
              </w:numPr>
              <w:autoSpaceDE w:val="0"/>
              <w:autoSpaceDN w:val="0"/>
              <w:adjustRightInd w:val="0"/>
              <w:jc w:val="both"/>
            </w:pPr>
            <w:r w:rsidRPr="001E3386">
              <w:t xml:space="preserve">согласие руководителя на предоставление сведений из информационных ресурсов Министерства внутренних дел Республики Беларусь по установленной форме (Приложение </w:t>
            </w:r>
            <w:r w:rsidR="002F1503" w:rsidRPr="001E3386">
              <w:t>2</w:t>
            </w:r>
            <w:r w:rsidR="00256574" w:rsidRPr="001E3386">
              <w:t xml:space="preserve"> </w:t>
            </w:r>
            <w:r w:rsidRPr="001E3386">
              <w:t>к Приглашению);</w:t>
            </w:r>
          </w:p>
          <w:p w:rsidR="00126B0B" w:rsidRPr="001E3386" w:rsidRDefault="00126B0B" w:rsidP="005D53D2">
            <w:pPr>
              <w:autoSpaceDE w:val="0"/>
              <w:autoSpaceDN w:val="0"/>
              <w:adjustRightInd w:val="0"/>
              <w:jc w:val="both"/>
            </w:pPr>
          </w:p>
          <w:p w:rsidR="00E115C5" w:rsidRPr="001E3386" w:rsidRDefault="000F0BC8" w:rsidP="005D53D2">
            <w:pPr>
              <w:autoSpaceDE w:val="0"/>
              <w:autoSpaceDN w:val="0"/>
              <w:adjustRightInd w:val="0"/>
              <w:jc w:val="both"/>
            </w:pPr>
            <w:r w:rsidRPr="001E3386">
              <w:t>Участники-нерезиденты Республики Беларусь представляют документы, аналогичные вышеуказанным в соответствии с законодательством стран.</w:t>
            </w:r>
          </w:p>
        </w:tc>
      </w:tr>
      <w:tr w:rsidR="00E115C5" w:rsidRPr="001E3386" w:rsidTr="00111EF8">
        <w:tc>
          <w:tcPr>
            <w:tcW w:w="3119" w:type="dxa"/>
            <w:shd w:val="clear" w:color="auto" w:fill="auto"/>
            <w:vAlign w:val="center"/>
          </w:tcPr>
          <w:p w:rsidR="00E115C5" w:rsidRPr="001E3386" w:rsidRDefault="00E115C5" w:rsidP="007C3FC5">
            <w:r w:rsidRPr="001E3386">
              <w:lastRenderedPageBreak/>
              <w:t>Требовани</w:t>
            </w:r>
            <w:r w:rsidR="007C3FC5" w:rsidRPr="001E3386">
              <w:t xml:space="preserve">я по условиям оплаты </w:t>
            </w:r>
          </w:p>
        </w:tc>
        <w:tc>
          <w:tcPr>
            <w:tcW w:w="7088" w:type="dxa"/>
            <w:shd w:val="clear" w:color="auto" w:fill="auto"/>
          </w:tcPr>
          <w:p w:rsidR="00382167" w:rsidRPr="001E3386" w:rsidRDefault="001A73D6" w:rsidP="00952FA1">
            <w:pPr>
              <w:autoSpaceDE w:val="0"/>
              <w:autoSpaceDN w:val="0"/>
              <w:adjustRightInd w:val="0"/>
              <w:jc w:val="both"/>
            </w:pPr>
            <w:r w:rsidRPr="001E3386">
              <w:t xml:space="preserve">Оплата услуг </w:t>
            </w:r>
            <w:r w:rsidR="006478CC" w:rsidRPr="001E3386">
              <w:t>–</w:t>
            </w:r>
            <w:r w:rsidRPr="001E3386">
              <w:t xml:space="preserve"> </w:t>
            </w:r>
            <w:r w:rsidR="00256574" w:rsidRPr="001E3386">
              <w:t xml:space="preserve">единовременная, </w:t>
            </w:r>
            <w:r w:rsidR="002F1503" w:rsidRPr="001E3386">
              <w:t xml:space="preserve">в течение 5 (пяти) банковских дней после подписания сторонами </w:t>
            </w:r>
            <w:r w:rsidR="00256574" w:rsidRPr="001E3386">
              <w:t>акта выполненных работ</w:t>
            </w:r>
            <w:r w:rsidR="00952FA1" w:rsidRPr="001E3386">
              <w:t>.</w:t>
            </w:r>
          </w:p>
          <w:p w:rsidR="00110626" w:rsidRPr="001E3386" w:rsidRDefault="00110626" w:rsidP="00952FA1">
            <w:pPr>
              <w:autoSpaceDE w:val="0"/>
              <w:autoSpaceDN w:val="0"/>
              <w:adjustRightInd w:val="0"/>
              <w:jc w:val="both"/>
            </w:pPr>
          </w:p>
          <w:p w:rsidR="00110626" w:rsidRPr="001E3386" w:rsidRDefault="00110626" w:rsidP="002F1503">
            <w:pPr>
              <w:autoSpaceDE w:val="0"/>
              <w:autoSpaceDN w:val="0"/>
              <w:adjustRightInd w:val="0"/>
              <w:jc w:val="both"/>
              <w:rPr>
                <w:color w:val="000000"/>
              </w:rPr>
            </w:pPr>
            <w:r w:rsidRPr="001E3386">
              <w:rPr>
                <w:color w:val="000000"/>
              </w:rPr>
              <w:t xml:space="preserve">Оплата производится в белорусских рублях (для участников-резидентов Республики Беларусь) или в российских рублях (для участников-нерезидентов Республики Беларусь) в течение </w:t>
            </w:r>
            <w:r w:rsidR="002F1503" w:rsidRPr="001E3386">
              <w:rPr>
                <w:color w:val="000000"/>
              </w:rPr>
              <w:t>5</w:t>
            </w:r>
            <w:r w:rsidRPr="001E3386">
              <w:rPr>
                <w:color w:val="000000"/>
              </w:rPr>
              <w:t xml:space="preserve"> (семи) банковских дней с момента подписания акта выполненных работ. Стоимость предмета закупки в российских рублях будет определена сторонами на основании курса белорусского рубля к российскому рублю, установленного Национальным банком Республики Беларусь на дату подписания акта</w:t>
            </w:r>
            <w:r w:rsidRPr="001E3386">
              <w:t xml:space="preserve"> выполненных работ</w:t>
            </w:r>
            <w:r w:rsidRPr="001E3386">
              <w:rPr>
                <w:color w:val="000000"/>
              </w:rPr>
              <w:t>.</w:t>
            </w:r>
          </w:p>
        </w:tc>
      </w:tr>
      <w:tr w:rsidR="0076578C" w:rsidRPr="001E3386" w:rsidTr="00111EF8">
        <w:tc>
          <w:tcPr>
            <w:tcW w:w="3119" w:type="dxa"/>
            <w:shd w:val="clear" w:color="auto" w:fill="auto"/>
          </w:tcPr>
          <w:p w:rsidR="0076578C" w:rsidRPr="001E3386" w:rsidRDefault="00354844" w:rsidP="00354844">
            <w:pPr>
              <w:jc w:val="both"/>
            </w:pPr>
            <w:r w:rsidRPr="001E3386">
              <w:t xml:space="preserve">Наименование валюты предоставления коммерческих предложений: </w:t>
            </w:r>
            <w:r w:rsidR="0076578C" w:rsidRPr="001E3386">
              <w:t xml:space="preserve"> </w:t>
            </w:r>
          </w:p>
        </w:tc>
        <w:tc>
          <w:tcPr>
            <w:tcW w:w="7088" w:type="dxa"/>
            <w:shd w:val="clear" w:color="auto" w:fill="auto"/>
          </w:tcPr>
          <w:p w:rsidR="0076578C" w:rsidRPr="001E3386" w:rsidRDefault="0006148B" w:rsidP="0006148B">
            <w:pPr>
              <w:jc w:val="both"/>
            </w:pPr>
            <w:r w:rsidRPr="001E3386">
              <w:t>Белорусские</w:t>
            </w:r>
            <w:r w:rsidR="001A73D6" w:rsidRPr="001E3386">
              <w:t xml:space="preserve"> рубли </w:t>
            </w:r>
            <w:r w:rsidR="009A1D80" w:rsidRPr="001E3386">
              <w:t xml:space="preserve"> (</w:t>
            </w:r>
            <w:r w:rsidR="00572F88" w:rsidRPr="001E3386">
              <w:rPr>
                <w:lang w:val="en-US"/>
              </w:rPr>
              <w:t>B</w:t>
            </w:r>
            <w:r w:rsidRPr="001E3386">
              <w:rPr>
                <w:lang w:val="en-US"/>
              </w:rPr>
              <w:t>YN</w:t>
            </w:r>
            <w:r w:rsidR="009A1D80" w:rsidRPr="001E3386">
              <w:t>)</w:t>
            </w:r>
            <w:r w:rsidR="00C26535" w:rsidRPr="001E3386">
              <w:t>.</w:t>
            </w:r>
          </w:p>
        </w:tc>
      </w:tr>
      <w:tr w:rsidR="002F1503" w:rsidRPr="001E3386" w:rsidTr="00111EF8">
        <w:tc>
          <w:tcPr>
            <w:tcW w:w="3119" w:type="dxa"/>
            <w:shd w:val="clear" w:color="auto" w:fill="auto"/>
          </w:tcPr>
          <w:p w:rsidR="002F1503" w:rsidRPr="001E3386" w:rsidRDefault="002F1503" w:rsidP="00354844">
            <w:pPr>
              <w:jc w:val="both"/>
            </w:pPr>
            <w:r w:rsidRPr="001E3386">
              <w:t>Обязательные условия договора</w:t>
            </w:r>
          </w:p>
        </w:tc>
        <w:tc>
          <w:tcPr>
            <w:tcW w:w="7088" w:type="dxa"/>
            <w:shd w:val="clear" w:color="auto" w:fill="auto"/>
          </w:tcPr>
          <w:p w:rsidR="002F1503" w:rsidRPr="001E3386" w:rsidRDefault="002F1503" w:rsidP="002F1503">
            <w:pPr>
              <w:jc w:val="both"/>
            </w:pPr>
            <w:r w:rsidRPr="001E3386">
              <w:t>Срок и условия оказания услуг, порядок оплаты в соответствии с требованиями настоящих документов, антикорупционная оговорка (Приложение №3 к Приглашению), а также меры ответственности сторон за неисполнение договора:</w:t>
            </w:r>
          </w:p>
          <w:p w:rsidR="002F1503" w:rsidRPr="001E3386" w:rsidRDefault="002F1503" w:rsidP="002F1503">
            <w:pPr>
              <w:jc w:val="both"/>
            </w:pPr>
            <w:r w:rsidRPr="001E3386">
              <w:t>в случае нарушения Участником сроков оказания услуг (выполнения работ) Заказчик вправе потребовать от Участника уплаты пени в размере 0,1% от стоимости услуг (работ) за каждый день просрочки.</w:t>
            </w:r>
          </w:p>
          <w:p w:rsidR="002F1503" w:rsidRPr="001E3386" w:rsidRDefault="002F1503" w:rsidP="002F1503">
            <w:pPr>
              <w:jc w:val="both"/>
            </w:pPr>
            <w:r w:rsidRPr="001E3386">
              <w:t>В случае нарушения Заказчиком сроков оплаты оказанных услуг (выполненных работ) Участник вправе потребовать от Заказчика уплаты пени в размере 0,1% от не оплаченной в срок суммы за каждый день просрочки.</w:t>
            </w:r>
          </w:p>
          <w:p w:rsidR="002F1503" w:rsidRPr="001E3386" w:rsidRDefault="002F1503" w:rsidP="002F1503">
            <w:pPr>
              <w:jc w:val="both"/>
            </w:pPr>
            <w:r w:rsidRPr="001E3386">
              <w:t>Срок заключения договора со дня принятия решения о выборе контрагента в течение 20 дней, либо предоставить письменное заявление об отказе.</w:t>
            </w:r>
          </w:p>
        </w:tc>
      </w:tr>
      <w:tr w:rsidR="00992B90" w:rsidRPr="001E3386" w:rsidTr="00111EF8">
        <w:tc>
          <w:tcPr>
            <w:tcW w:w="3119" w:type="dxa"/>
            <w:shd w:val="clear" w:color="auto" w:fill="auto"/>
            <w:vAlign w:val="center"/>
          </w:tcPr>
          <w:p w:rsidR="00992B90" w:rsidRPr="001E3386" w:rsidRDefault="002F1503" w:rsidP="002F1503">
            <w:r w:rsidRPr="001E3386">
              <w:t xml:space="preserve">Валюта заключения договора </w:t>
            </w:r>
          </w:p>
        </w:tc>
        <w:tc>
          <w:tcPr>
            <w:tcW w:w="7088" w:type="dxa"/>
            <w:shd w:val="clear" w:color="auto" w:fill="auto"/>
          </w:tcPr>
          <w:p w:rsidR="002274C3" w:rsidRPr="001E3386" w:rsidRDefault="002F1503" w:rsidP="00256574">
            <w:pPr>
              <w:jc w:val="both"/>
            </w:pPr>
            <w:r w:rsidRPr="001E3386">
              <w:t>Белорусские рубли  (</w:t>
            </w:r>
            <w:r w:rsidRPr="001E3386">
              <w:rPr>
                <w:lang w:val="en-US"/>
              </w:rPr>
              <w:t>BYN</w:t>
            </w:r>
            <w:r w:rsidRPr="001E3386">
              <w:t>).</w:t>
            </w:r>
          </w:p>
        </w:tc>
      </w:tr>
      <w:tr w:rsidR="009A1D80" w:rsidRPr="001E3386" w:rsidTr="00111EF8">
        <w:tc>
          <w:tcPr>
            <w:tcW w:w="3119" w:type="dxa"/>
            <w:shd w:val="clear" w:color="auto" w:fill="auto"/>
            <w:vAlign w:val="center"/>
          </w:tcPr>
          <w:p w:rsidR="009A1D80" w:rsidRPr="001E3386" w:rsidRDefault="002F1503" w:rsidP="00F304B8">
            <w:r w:rsidRPr="001E3386">
              <w:t>Способ предоставления коммерческих предложений</w:t>
            </w:r>
          </w:p>
        </w:tc>
        <w:tc>
          <w:tcPr>
            <w:tcW w:w="7088" w:type="dxa"/>
            <w:shd w:val="clear" w:color="auto" w:fill="auto"/>
          </w:tcPr>
          <w:p w:rsidR="009A1D80" w:rsidRPr="001E3386" w:rsidRDefault="000C26CB" w:rsidP="002D5D05">
            <w:pPr>
              <w:jc w:val="both"/>
            </w:pPr>
            <w:r w:rsidRPr="000C26CB">
              <w:t>Предложение просим предоставить на электронный адрес Банка Tenders@sber-bank.by или RALavrenyuk@sber-bank.by</w:t>
            </w:r>
            <w:bookmarkStart w:id="0" w:name="_GoBack"/>
            <w:bookmarkEnd w:id="0"/>
          </w:p>
        </w:tc>
      </w:tr>
      <w:tr w:rsidR="009A1D80" w:rsidRPr="001E3386" w:rsidTr="00111EF8">
        <w:tc>
          <w:tcPr>
            <w:tcW w:w="3119" w:type="dxa"/>
            <w:shd w:val="clear" w:color="auto" w:fill="auto"/>
            <w:vAlign w:val="center"/>
          </w:tcPr>
          <w:p w:rsidR="009A1D80" w:rsidRPr="001E3386" w:rsidRDefault="009A1D80" w:rsidP="00F304B8">
            <w:r w:rsidRPr="001E3386">
              <w:t>Контактные лицо по проведению процедуры закупки</w:t>
            </w:r>
          </w:p>
        </w:tc>
        <w:tc>
          <w:tcPr>
            <w:tcW w:w="7088" w:type="dxa"/>
            <w:shd w:val="clear" w:color="auto" w:fill="auto"/>
          </w:tcPr>
          <w:p w:rsidR="009A1D80" w:rsidRPr="001E3386" w:rsidRDefault="00952FA1" w:rsidP="00F304B8">
            <w:pPr>
              <w:pStyle w:val="a3"/>
              <w:widowControl w:val="0"/>
              <w:jc w:val="both"/>
              <w:rPr>
                <w:rFonts w:ascii="Times New Roman" w:hAnsi="Times New Roman"/>
                <w:sz w:val="24"/>
                <w:szCs w:val="24"/>
              </w:rPr>
            </w:pPr>
            <w:r w:rsidRPr="001E3386">
              <w:rPr>
                <w:rFonts w:ascii="Times New Roman" w:hAnsi="Times New Roman"/>
                <w:sz w:val="24"/>
                <w:szCs w:val="24"/>
              </w:rPr>
              <w:t>Лавренюк Руслан Алексеевич</w:t>
            </w:r>
          </w:p>
          <w:p w:rsidR="00117916" w:rsidRPr="001E3386" w:rsidRDefault="009A1D80" w:rsidP="00952FA1">
            <w:pPr>
              <w:pStyle w:val="a3"/>
              <w:widowControl w:val="0"/>
              <w:jc w:val="both"/>
              <w:rPr>
                <w:rFonts w:ascii="Times New Roman" w:hAnsi="Times New Roman"/>
                <w:sz w:val="24"/>
                <w:szCs w:val="24"/>
              </w:rPr>
            </w:pPr>
            <w:r w:rsidRPr="001E3386">
              <w:rPr>
                <w:rFonts w:ascii="Times New Roman" w:hAnsi="Times New Roman"/>
                <w:sz w:val="24"/>
                <w:szCs w:val="24"/>
              </w:rPr>
              <w:t>тел. +375 17 359 9</w:t>
            </w:r>
            <w:r w:rsidR="00952FA1" w:rsidRPr="001E3386">
              <w:rPr>
                <w:rFonts w:ascii="Times New Roman" w:hAnsi="Times New Roman"/>
                <w:sz w:val="24"/>
                <w:szCs w:val="24"/>
              </w:rPr>
              <w:t>9</w:t>
            </w:r>
            <w:r w:rsidRPr="001E3386">
              <w:rPr>
                <w:rFonts w:ascii="Times New Roman" w:hAnsi="Times New Roman"/>
                <w:sz w:val="24"/>
                <w:szCs w:val="24"/>
              </w:rPr>
              <w:t xml:space="preserve"> 2</w:t>
            </w:r>
            <w:r w:rsidR="00952FA1" w:rsidRPr="001E3386">
              <w:rPr>
                <w:rFonts w:ascii="Times New Roman" w:hAnsi="Times New Roman"/>
                <w:sz w:val="24"/>
                <w:szCs w:val="24"/>
              </w:rPr>
              <w:t>0</w:t>
            </w:r>
          </w:p>
        </w:tc>
      </w:tr>
      <w:tr w:rsidR="009A1D80" w:rsidRPr="001E3386" w:rsidTr="00111EF8">
        <w:tc>
          <w:tcPr>
            <w:tcW w:w="3119" w:type="dxa"/>
            <w:shd w:val="clear" w:color="auto" w:fill="auto"/>
            <w:vAlign w:val="center"/>
          </w:tcPr>
          <w:p w:rsidR="009A1D80" w:rsidRPr="001E3386" w:rsidRDefault="009A1D80" w:rsidP="00F304B8">
            <w:r w:rsidRPr="001E3386">
              <w:t>Контактное лицо по предмету закупки</w:t>
            </w:r>
          </w:p>
        </w:tc>
        <w:tc>
          <w:tcPr>
            <w:tcW w:w="7088" w:type="dxa"/>
            <w:shd w:val="clear" w:color="auto" w:fill="auto"/>
          </w:tcPr>
          <w:p w:rsidR="001A73D6" w:rsidRPr="001E3386" w:rsidRDefault="001A73D6" w:rsidP="00D004AD">
            <w:pPr>
              <w:pStyle w:val="a3"/>
              <w:widowControl w:val="0"/>
              <w:jc w:val="both"/>
              <w:rPr>
                <w:rFonts w:ascii="Times New Roman" w:hAnsi="Times New Roman"/>
                <w:sz w:val="24"/>
                <w:szCs w:val="24"/>
              </w:rPr>
            </w:pPr>
            <w:r w:rsidRPr="001E3386">
              <w:rPr>
                <w:rFonts w:ascii="Times New Roman" w:hAnsi="Times New Roman"/>
                <w:sz w:val="24"/>
                <w:szCs w:val="24"/>
              </w:rPr>
              <w:t>Галкин Олег Вячеславович</w:t>
            </w:r>
          </w:p>
          <w:p w:rsidR="009A1D80" w:rsidRPr="001E3386" w:rsidRDefault="009A1D80" w:rsidP="00D004AD">
            <w:pPr>
              <w:pStyle w:val="a3"/>
              <w:widowControl w:val="0"/>
              <w:jc w:val="both"/>
              <w:rPr>
                <w:rFonts w:ascii="Times New Roman" w:hAnsi="Times New Roman"/>
                <w:sz w:val="24"/>
                <w:szCs w:val="24"/>
              </w:rPr>
            </w:pPr>
            <w:r w:rsidRPr="001E3386">
              <w:rPr>
                <w:rFonts w:ascii="Times New Roman" w:hAnsi="Times New Roman"/>
                <w:sz w:val="24"/>
                <w:szCs w:val="24"/>
              </w:rPr>
              <w:t xml:space="preserve">тел. </w:t>
            </w:r>
            <w:r w:rsidR="001A73D6" w:rsidRPr="001E3386">
              <w:rPr>
                <w:rFonts w:ascii="Times New Roman" w:hAnsi="Times New Roman"/>
                <w:sz w:val="24"/>
                <w:szCs w:val="24"/>
              </w:rPr>
              <w:t>+375 17 359 90 32</w:t>
            </w:r>
          </w:p>
        </w:tc>
      </w:tr>
      <w:tr w:rsidR="009A1D80" w:rsidRPr="001E3386" w:rsidTr="00111EF8">
        <w:trPr>
          <w:trHeight w:val="655"/>
        </w:trPr>
        <w:tc>
          <w:tcPr>
            <w:tcW w:w="3119" w:type="dxa"/>
            <w:shd w:val="clear" w:color="auto" w:fill="auto"/>
            <w:vAlign w:val="center"/>
          </w:tcPr>
          <w:p w:rsidR="009A1D80" w:rsidRPr="001E3386" w:rsidRDefault="009A1D80" w:rsidP="00F304B8">
            <w:r w:rsidRPr="001E3386">
              <w:t>Срок предоставления</w:t>
            </w:r>
          </w:p>
        </w:tc>
        <w:tc>
          <w:tcPr>
            <w:tcW w:w="7088" w:type="dxa"/>
            <w:shd w:val="clear" w:color="auto" w:fill="auto"/>
            <w:vAlign w:val="center"/>
          </w:tcPr>
          <w:p w:rsidR="002F1503" w:rsidRPr="001E3386" w:rsidRDefault="002F1503" w:rsidP="002F1503">
            <w:pPr>
              <w:pStyle w:val="a3"/>
              <w:widowControl w:val="0"/>
              <w:rPr>
                <w:rFonts w:ascii="Times New Roman" w:hAnsi="Times New Roman"/>
                <w:sz w:val="24"/>
                <w:szCs w:val="24"/>
              </w:rPr>
            </w:pPr>
            <w:r w:rsidRPr="001E3386">
              <w:rPr>
                <w:rFonts w:ascii="Times New Roman" w:hAnsi="Times New Roman"/>
                <w:sz w:val="24"/>
                <w:szCs w:val="24"/>
              </w:rPr>
              <w:t xml:space="preserve">до 17 часов 00 минут </w:t>
            </w:r>
          </w:p>
          <w:p w:rsidR="009A1D80" w:rsidRPr="001E3386" w:rsidRDefault="002F1503" w:rsidP="002F1503">
            <w:pPr>
              <w:pStyle w:val="a3"/>
              <w:widowControl w:val="0"/>
              <w:rPr>
                <w:rFonts w:ascii="Times New Roman" w:hAnsi="Times New Roman"/>
                <w:sz w:val="24"/>
                <w:szCs w:val="24"/>
              </w:rPr>
            </w:pPr>
            <w:r w:rsidRPr="001E3386">
              <w:rPr>
                <w:rFonts w:ascii="Times New Roman" w:hAnsi="Times New Roman"/>
                <w:sz w:val="24"/>
                <w:szCs w:val="24"/>
              </w:rPr>
              <w:t>07 августа 2025 г.</w:t>
            </w:r>
          </w:p>
        </w:tc>
      </w:tr>
    </w:tbl>
    <w:p w:rsidR="001E3386" w:rsidRDefault="001E3386" w:rsidP="0043744A">
      <w:pPr>
        <w:ind w:firstLine="708"/>
        <w:jc w:val="both"/>
      </w:pPr>
    </w:p>
    <w:p w:rsidR="00992B90" w:rsidRPr="000C26CB" w:rsidRDefault="0043744A" w:rsidP="0043744A">
      <w:pPr>
        <w:ind w:firstLine="708"/>
        <w:jc w:val="both"/>
      </w:pPr>
      <w:r w:rsidRPr="000C26CB">
        <w:lastRenderedPageBreak/>
        <w:t>Коммерческие предложения, поступившее в Банк после истечения окончательного срока его представления, к рассмотрению не принимаются.</w:t>
      </w:r>
    </w:p>
    <w:p w:rsidR="00E0682E" w:rsidRPr="000C26CB" w:rsidRDefault="0076578C" w:rsidP="00C02EC9">
      <w:pPr>
        <w:ind w:firstLine="708"/>
        <w:jc w:val="both"/>
      </w:pPr>
      <w:r w:rsidRPr="000C26CB">
        <w:t>Заказчик вправе отменить процедуру закупки до за</w:t>
      </w:r>
      <w:r w:rsidR="007C7A35" w:rsidRPr="000C26CB">
        <w:t>ключения договора с победителем и не несет за это ответственность перед участниками процедуры закупки.</w:t>
      </w:r>
    </w:p>
    <w:p w:rsidR="002F1503" w:rsidRPr="000C26CB" w:rsidRDefault="002F1503" w:rsidP="002F1503">
      <w:pPr>
        <w:jc w:val="both"/>
      </w:pPr>
    </w:p>
    <w:p w:rsidR="002F1503" w:rsidRPr="001E3386" w:rsidRDefault="002F1503" w:rsidP="002F1503">
      <w:pPr>
        <w:jc w:val="both"/>
      </w:pPr>
    </w:p>
    <w:p w:rsidR="002F1503" w:rsidRPr="001E3386" w:rsidRDefault="002F1503" w:rsidP="002F1503">
      <w:pPr>
        <w:jc w:val="both"/>
      </w:pPr>
    </w:p>
    <w:p w:rsidR="002F1503" w:rsidRPr="001E3386" w:rsidRDefault="002F1503" w:rsidP="002F1503">
      <w:pPr>
        <w:jc w:val="both"/>
      </w:pPr>
    </w:p>
    <w:p w:rsidR="002F1503" w:rsidRPr="001E3386" w:rsidRDefault="002F1503" w:rsidP="002F1503">
      <w:pPr>
        <w:jc w:val="both"/>
      </w:pPr>
      <w:r w:rsidRPr="001E3386">
        <w:t>Начальник Отдела закупок</w:t>
      </w:r>
      <w:r w:rsidRPr="001E3386">
        <w:tab/>
      </w:r>
      <w:r w:rsidRPr="001E3386">
        <w:tab/>
      </w:r>
      <w:r w:rsidRPr="001E3386">
        <w:tab/>
      </w:r>
      <w:r w:rsidRPr="001E3386">
        <w:tab/>
      </w:r>
      <w:r w:rsidRPr="001E3386">
        <w:tab/>
      </w:r>
      <w:r w:rsidRPr="001E3386">
        <w:tab/>
      </w:r>
      <w:r w:rsidRPr="001E3386">
        <w:tab/>
        <w:t>Р.А. Лавренюк</w:t>
      </w:r>
    </w:p>
    <w:p w:rsidR="002F1503" w:rsidRPr="001E3386" w:rsidRDefault="002F1503" w:rsidP="002F1503">
      <w:pPr>
        <w:jc w:val="both"/>
      </w:pPr>
    </w:p>
    <w:p w:rsidR="0078394C" w:rsidRPr="001E3386" w:rsidRDefault="0078394C">
      <w:pPr>
        <w:spacing w:after="200" w:line="276" w:lineRule="auto"/>
      </w:pPr>
      <w:r w:rsidRPr="001E3386">
        <w:br w:type="page"/>
      </w:r>
    </w:p>
    <w:p w:rsidR="0078394C" w:rsidRPr="0078394C" w:rsidRDefault="0078394C" w:rsidP="0078394C">
      <w:pPr>
        <w:jc w:val="right"/>
        <w:rPr>
          <w:sz w:val="26"/>
          <w:szCs w:val="26"/>
        </w:rPr>
      </w:pPr>
      <w:r w:rsidRPr="0078394C">
        <w:rPr>
          <w:szCs w:val="26"/>
        </w:rPr>
        <w:lastRenderedPageBreak/>
        <w:t xml:space="preserve">Приложение 2 к Приглашению </w:t>
      </w:r>
    </w:p>
    <w:p w:rsidR="0078394C" w:rsidRPr="0078394C" w:rsidRDefault="0078394C" w:rsidP="0078394C">
      <w:pPr>
        <w:jc w:val="both"/>
        <w:rPr>
          <w:sz w:val="26"/>
          <w:szCs w:val="26"/>
        </w:rPr>
      </w:pPr>
    </w:p>
    <w:p w:rsidR="0078394C" w:rsidRPr="0078394C" w:rsidRDefault="0078394C" w:rsidP="0078394C">
      <w:pPr>
        <w:jc w:val="center"/>
        <w:rPr>
          <w:b/>
          <w:bCs/>
        </w:rPr>
      </w:pPr>
      <w:bookmarkStart w:id="1" w:name="Заг_Прил_20_Утв_1"/>
      <w:bookmarkStart w:id="2" w:name="Заг_Прил_1"/>
      <w:r w:rsidRPr="0078394C">
        <w:rPr>
          <w:b/>
          <w:bCs/>
        </w:rPr>
        <w:t>СОГЛАСИЕ</w:t>
      </w:r>
      <w:bookmarkEnd w:id="1"/>
      <w:r w:rsidRPr="0078394C">
        <w:rPr>
          <w:b/>
          <w:bCs/>
        </w:rPr>
        <w:br/>
      </w:r>
      <w:bookmarkEnd w:id="2"/>
      <w:r w:rsidRPr="0078394C">
        <w:rPr>
          <w:b/>
          <w:bCs/>
        </w:rPr>
        <w:t>физического лица (его законного представителя), в том числе индивидуального предпринимателя, на предоставление сведений о правонарушениях, хранящихся в едином государственном банке данных о правонарушениях*</w:t>
      </w:r>
    </w:p>
    <w:p w:rsidR="0078394C" w:rsidRPr="0078394C" w:rsidRDefault="0078394C" w:rsidP="0078394C">
      <w:pPr>
        <w:jc w:val="center"/>
      </w:pPr>
    </w:p>
    <w:tbl>
      <w:tblPr>
        <w:tblStyle w:val="1"/>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93"/>
        <w:gridCol w:w="8930"/>
        <w:gridCol w:w="142"/>
      </w:tblGrid>
      <w:tr w:rsidR="0078394C" w:rsidRPr="0078394C" w:rsidTr="00A76D94">
        <w:trPr>
          <w:trHeight w:val="20"/>
        </w:trPr>
        <w:tc>
          <w:tcPr>
            <w:tcW w:w="10065" w:type="dxa"/>
            <w:gridSpan w:val="3"/>
            <w:tcBorders>
              <w:top w:val="single" w:sz="4" w:space="0" w:color="auto"/>
              <w:left w:val="nil"/>
              <w:bottom w:val="nil"/>
              <w:right w:val="nil"/>
            </w:tcBorders>
            <w:vAlign w:val="bottom"/>
            <w:hideMark/>
          </w:tcPr>
          <w:p w:rsidR="0078394C" w:rsidRPr="0078394C" w:rsidRDefault="0078394C" w:rsidP="0078394C">
            <w:pPr>
              <w:jc w:val="center"/>
              <w:rPr>
                <w:i/>
                <w:sz w:val="20"/>
                <w:szCs w:val="20"/>
              </w:rPr>
            </w:pPr>
            <w:r w:rsidRPr="0078394C">
              <w:rPr>
                <w:i/>
                <w:sz w:val="20"/>
                <w:szCs w:val="20"/>
              </w:rPr>
              <w:t>(персональные данные лица, в отношении которого запрашиваются сведения о правонарушениях:</w:t>
            </w:r>
          </w:p>
        </w:tc>
      </w:tr>
      <w:tr w:rsidR="0078394C" w:rsidRPr="0078394C" w:rsidTr="00A76D94">
        <w:trPr>
          <w:trHeight w:val="20"/>
        </w:trPr>
        <w:tc>
          <w:tcPr>
            <w:tcW w:w="10065" w:type="dxa"/>
            <w:gridSpan w:val="3"/>
            <w:tcBorders>
              <w:top w:val="nil"/>
              <w:left w:val="nil"/>
              <w:bottom w:val="single" w:sz="4" w:space="0" w:color="auto"/>
              <w:right w:val="nil"/>
            </w:tcBorders>
            <w:vAlign w:val="bottom"/>
          </w:tcPr>
          <w:p w:rsidR="0078394C" w:rsidRPr="0078394C" w:rsidRDefault="0078394C" w:rsidP="0078394C">
            <w:pPr>
              <w:jc w:val="center"/>
            </w:pPr>
          </w:p>
        </w:tc>
      </w:tr>
      <w:tr w:rsidR="0078394C" w:rsidRPr="0078394C" w:rsidTr="00A76D94">
        <w:trPr>
          <w:trHeight w:val="20"/>
        </w:trPr>
        <w:tc>
          <w:tcPr>
            <w:tcW w:w="10065" w:type="dxa"/>
            <w:gridSpan w:val="3"/>
            <w:tcBorders>
              <w:top w:val="single" w:sz="4" w:space="0" w:color="auto"/>
              <w:left w:val="nil"/>
              <w:bottom w:val="nil"/>
              <w:right w:val="nil"/>
            </w:tcBorders>
            <w:vAlign w:val="bottom"/>
            <w:hideMark/>
          </w:tcPr>
          <w:p w:rsidR="0078394C" w:rsidRPr="0078394C" w:rsidRDefault="0078394C" w:rsidP="0078394C">
            <w:pPr>
              <w:jc w:val="center"/>
              <w:rPr>
                <w:i/>
                <w:sz w:val="20"/>
                <w:szCs w:val="20"/>
              </w:rPr>
            </w:pPr>
            <w:r w:rsidRPr="0078394C">
              <w:rPr>
                <w:i/>
                <w:sz w:val="20"/>
                <w:szCs w:val="20"/>
              </w:rPr>
              <w:t>фамилия, собственное имя, отчество (если таковое имеется), дата и место рождения,</w:t>
            </w:r>
          </w:p>
        </w:tc>
      </w:tr>
      <w:tr w:rsidR="0078394C" w:rsidRPr="0078394C" w:rsidTr="00A76D94">
        <w:trPr>
          <w:trHeight w:val="20"/>
        </w:trPr>
        <w:tc>
          <w:tcPr>
            <w:tcW w:w="10065" w:type="dxa"/>
            <w:gridSpan w:val="3"/>
            <w:tcBorders>
              <w:top w:val="nil"/>
              <w:left w:val="nil"/>
              <w:bottom w:val="single" w:sz="4" w:space="0" w:color="auto"/>
              <w:right w:val="nil"/>
            </w:tcBorders>
            <w:vAlign w:val="bottom"/>
          </w:tcPr>
          <w:p w:rsidR="0078394C" w:rsidRPr="0078394C" w:rsidRDefault="0078394C" w:rsidP="0078394C">
            <w:pPr>
              <w:jc w:val="center"/>
            </w:pPr>
          </w:p>
        </w:tc>
      </w:tr>
      <w:tr w:rsidR="0078394C" w:rsidRPr="0078394C" w:rsidTr="00A76D94">
        <w:trPr>
          <w:trHeight w:val="20"/>
        </w:trPr>
        <w:tc>
          <w:tcPr>
            <w:tcW w:w="10065" w:type="dxa"/>
            <w:gridSpan w:val="3"/>
            <w:tcBorders>
              <w:top w:val="single" w:sz="4" w:space="0" w:color="auto"/>
              <w:left w:val="nil"/>
              <w:bottom w:val="nil"/>
              <w:right w:val="nil"/>
            </w:tcBorders>
            <w:vAlign w:val="bottom"/>
            <w:hideMark/>
          </w:tcPr>
          <w:p w:rsidR="0078394C" w:rsidRPr="0078394C" w:rsidRDefault="0078394C" w:rsidP="0078394C">
            <w:pPr>
              <w:jc w:val="center"/>
              <w:rPr>
                <w:i/>
                <w:sz w:val="20"/>
                <w:szCs w:val="20"/>
              </w:rPr>
            </w:pPr>
            <w:r w:rsidRPr="0078394C">
              <w:rPr>
                <w:i/>
                <w:sz w:val="20"/>
                <w:szCs w:val="20"/>
              </w:rPr>
              <w:t>идентификационный номер (при отсутствии – номер документа, удостоверяющего личность)</w:t>
            </w:r>
          </w:p>
        </w:tc>
      </w:tr>
      <w:tr w:rsidR="0078394C" w:rsidRPr="0078394C" w:rsidTr="00A76D94">
        <w:trPr>
          <w:trHeight w:val="20"/>
        </w:trPr>
        <w:tc>
          <w:tcPr>
            <w:tcW w:w="993" w:type="dxa"/>
            <w:vAlign w:val="bottom"/>
            <w:hideMark/>
          </w:tcPr>
          <w:p w:rsidR="0078394C" w:rsidRPr="0078394C" w:rsidRDefault="0078394C" w:rsidP="0078394C">
            <w:pPr>
              <w:jc w:val="both"/>
            </w:pPr>
            <w:r w:rsidRPr="0078394C">
              <w:t xml:space="preserve">  и (или)</w:t>
            </w:r>
          </w:p>
        </w:tc>
        <w:tc>
          <w:tcPr>
            <w:tcW w:w="9072" w:type="dxa"/>
            <w:gridSpan w:val="2"/>
            <w:tcBorders>
              <w:top w:val="nil"/>
              <w:left w:val="nil"/>
              <w:bottom w:val="single" w:sz="4" w:space="0" w:color="auto"/>
              <w:right w:val="nil"/>
            </w:tcBorders>
            <w:vAlign w:val="bottom"/>
          </w:tcPr>
          <w:p w:rsidR="0078394C" w:rsidRPr="0078394C" w:rsidRDefault="0078394C" w:rsidP="0078394C">
            <w:pPr>
              <w:jc w:val="center"/>
              <w:rPr>
                <w:sz w:val="26"/>
                <w:szCs w:val="26"/>
              </w:rPr>
            </w:pPr>
          </w:p>
        </w:tc>
      </w:tr>
      <w:tr w:rsidR="0078394C" w:rsidRPr="0078394C" w:rsidTr="00A76D94">
        <w:trPr>
          <w:trHeight w:val="20"/>
        </w:trPr>
        <w:tc>
          <w:tcPr>
            <w:tcW w:w="993" w:type="dxa"/>
            <w:vAlign w:val="bottom"/>
          </w:tcPr>
          <w:p w:rsidR="0078394C" w:rsidRPr="0078394C" w:rsidRDefault="0078394C" w:rsidP="0078394C">
            <w:pPr>
              <w:jc w:val="center"/>
              <w:rPr>
                <w:i/>
                <w:sz w:val="20"/>
                <w:szCs w:val="20"/>
              </w:rPr>
            </w:pPr>
          </w:p>
        </w:tc>
        <w:tc>
          <w:tcPr>
            <w:tcW w:w="9072" w:type="dxa"/>
            <w:gridSpan w:val="2"/>
            <w:tcBorders>
              <w:top w:val="single" w:sz="4" w:space="0" w:color="auto"/>
              <w:left w:val="nil"/>
              <w:bottom w:val="nil"/>
              <w:right w:val="nil"/>
            </w:tcBorders>
            <w:vAlign w:val="bottom"/>
            <w:hideMark/>
          </w:tcPr>
          <w:p w:rsidR="0078394C" w:rsidRPr="0078394C" w:rsidRDefault="0078394C" w:rsidP="0078394C">
            <w:pPr>
              <w:jc w:val="center"/>
              <w:rPr>
                <w:i/>
                <w:sz w:val="20"/>
                <w:szCs w:val="20"/>
              </w:rPr>
            </w:pPr>
            <w:r w:rsidRPr="0078394C">
              <w:rPr>
                <w:i/>
                <w:sz w:val="20"/>
                <w:szCs w:val="20"/>
              </w:rPr>
              <w:t xml:space="preserve">(персональные данные законного представителя: фамилия, собственное имя, </w:t>
            </w:r>
            <w:r w:rsidRPr="0078394C">
              <w:rPr>
                <w:i/>
                <w:sz w:val="20"/>
                <w:szCs w:val="20"/>
              </w:rPr>
              <w:br/>
              <w:t>отчество (если таковое имеется), идентификационный</w:t>
            </w:r>
          </w:p>
        </w:tc>
      </w:tr>
      <w:tr w:rsidR="0078394C" w:rsidRPr="0078394C" w:rsidTr="00A76D94">
        <w:trPr>
          <w:trHeight w:val="20"/>
        </w:trPr>
        <w:tc>
          <w:tcPr>
            <w:tcW w:w="10065" w:type="dxa"/>
            <w:gridSpan w:val="3"/>
            <w:tcBorders>
              <w:top w:val="nil"/>
              <w:left w:val="nil"/>
              <w:bottom w:val="single" w:sz="4" w:space="0" w:color="auto"/>
              <w:right w:val="nil"/>
            </w:tcBorders>
            <w:vAlign w:val="bottom"/>
          </w:tcPr>
          <w:p w:rsidR="0078394C" w:rsidRPr="0078394C" w:rsidRDefault="0078394C" w:rsidP="0078394C">
            <w:pPr>
              <w:jc w:val="center"/>
              <w:rPr>
                <w:sz w:val="26"/>
                <w:szCs w:val="26"/>
              </w:rPr>
            </w:pPr>
          </w:p>
        </w:tc>
      </w:tr>
      <w:tr w:rsidR="0078394C" w:rsidRPr="0078394C" w:rsidTr="00A76D94">
        <w:trPr>
          <w:trHeight w:val="20"/>
        </w:trPr>
        <w:tc>
          <w:tcPr>
            <w:tcW w:w="10065" w:type="dxa"/>
            <w:gridSpan w:val="3"/>
            <w:tcBorders>
              <w:top w:val="single" w:sz="4" w:space="0" w:color="auto"/>
              <w:left w:val="nil"/>
              <w:bottom w:val="nil"/>
              <w:right w:val="nil"/>
            </w:tcBorders>
            <w:vAlign w:val="bottom"/>
            <w:hideMark/>
          </w:tcPr>
          <w:p w:rsidR="0078394C" w:rsidRPr="0078394C" w:rsidRDefault="0078394C" w:rsidP="0078394C">
            <w:pPr>
              <w:jc w:val="center"/>
              <w:rPr>
                <w:i/>
                <w:sz w:val="20"/>
                <w:szCs w:val="20"/>
              </w:rPr>
            </w:pPr>
            <w:r w:rsidRPr="0078394C">
              <w:rPr>
                <w:i/>
                <w:sz w:val="20"/>
                <w:szCs w:val="20"/>
              </w:rPr>
              <w:t>номер (при отсутствии – номер документа, удостоверяющего личность) либо наименование</w:t>
            </w:r>
          </w:p>
        </w:tc>
      </w:tr>
      <w:tr w:rsidR="0078394C" w:rsidRPr="0078394C" w:rsidTr="00A76D94">
        <w:trPr>
          <w:trHeight w:val="20"/>
        </w:trPr>
        <w:tc>
          <w:tcPr>
            <w:tcW w:w="10065" w:type="dxa"/>
            <w:gridSpan w:val="3"/>
            <w:tcBorders>
              <w:top w:val="nil"/>
              <w:left w:val="nil"/>
              <w:bottom w:val="single" w:sz="4" w:space="0" w:color="auto"/>
              <w:right w:val="nil"/>
            </w:tcBorders>
            <w:vAlign w:val="bottom"/>
          </w:tcPr>
          <w:p w:rsidR="0078394C" w:rsidRPr="0078394C" w:rsidRDefault="0078394C" w:rsidP="0078394C">
            <w:pPr>
              <w:jc w:val="center"/>
              <w:rPr>
                <w:sz w:val="26"/>
                <w:szCs w:val="26"/>
              </w:rPr>
            </w:pPr>
          </w:p>
        </w:tc>
      </w:tr>
      <w:tr w:rsidR="0078394C" w:rsidRPr="0078394C" w:rsidTr="00A76D94">
        <w:trPr>
          <w:trHeight w:val="20"/>
        </w:trPr>
        <w:tc>
          <w:tcPr>
            <w:tcW w:w="10065" w:type="dxa"/>
            <w:gridSpan w:val="3"/>
            <w:tcBorders>
              <w:top w:val="single" w:sz="4" w:space="0" w:color="auto"/>
              <w:left w:val="nil"/>
              <w:bottom w:val="nil"/>
              <w:right w:val="nil"/>
            </w:tcBorders>
            <w:vAlign w:val="bottom"/>
            <w:hideMark/>
          </w:tcPr>
          <w:p w:rsidR="0078394C" w:rsidRPr="0078394C" w:rsidRDefault="0078394C" w:rsidP="0078394C">
            <w:pPr>
              <w:jc w:val="center"/>
              <w:rPr>
                <w:i/>
                <w:sz w:val="20"/>
                <w:szCs w:val="20"/>
              </w:rPr>
            </w:pPr>
            <w:r w:rsidRPr="0078394C">
              <w:rPr>
                <w:i/>
                <w:sz w:val="20"/>
                <w:szCs w:val="20"/>
              </w:rPr>
              <w:t>организации, регистрационный номер в Едином государственном регистре юридических</w:t>
            </w:r>
          </w:p>
        </w:tc>
      </w:tr>
      <w:tr w:rsidR="0078394C" w:rsidRPr="0078394C" w:rsidTr="00A76D94">
        <w:trPr>
          <w:trHeight w:val="20"/>
        </w:trPr>
        <w:tc>
          <w:tcPr>
            <w:tcW w:w="9923" w:type="dxa"/>
            <w:gridSpan w:val="2"/>
            <w:tcBorders>
              <w:top w:val="nil"/>
              <w:left w:val="nil"/>
              <w:bottom w:val="single" w:sz="4" w:space="0" w:color="auto"/>
              <w:right w:val="nil"/>
            </w:tcBorders>
            <w:vAlign w:val="bottom"/>
          </w:tcPr>
          <w:p w:rsidR="0078394C" w:rsidRPr="0078394C" w:rsidRDefault="0078394C" w:rsidP="0078394C">
            <w:pPr>
              <w:jc w:val="center"/>
              <w:rPr>
                <w:sz w:val="26"/>
                <w:szCs w:val="26"/>
              </w:rPr>
            </w:pPr>
          </w:p>
        </w:tc>
        <w:tc>
          <w:tcPr>
            <w:tcW w:w="142" w:type="dxa"/>
            <w:hideMark/>
          </w:tcPr>
          <w:p w:rsidR="0078394C" w:rsidRPr="0078394C" w:rsidRDefault="0078394C" w:rsidP="0078394C">
            <w:pPr>
              <w:rPr>
                <w:sz w:val="26"/>
                <w:szCs w:val="26"/>
              </w:rPr>
            </w:pPr>
            <w:r w:rsidRPr="0078394C">
              <w:rPr>
                <w:sz w:val="26"/>
                <w:szCs w:val="26"/>
              </w:rPr>
              <w:t>,</w:t>
            </w:r>
          </w:p>
        </w:tc>
      </w:tr>
      <w:tr w:rsidR="0078394C" w:rsidRPr="0078394C" w:rsidTr="00A76D94">
        <w:trPr>
          <w:trHeight w:val="20"/>
        </w:trPr>
        <w:tc>
          <w:tcPr>
            <w:tcW w:w="9923" w:type="dxa"/>
            <w:gridSpan w:val="2"/>
            <w:tcBorders>
              <w:top w:val="single" w:sz="4" w:space="0" w:color="auto"/>
              <w:left w:val="nil"/>
              <w:bottom w:val="nil"/>
              <w:right w:val="nil"/>
            </w:tcBorders>
            <w:vAlign w:val="bottom"/>
            <w:hideMark/>
          </w:tcPr>
          <w:p w:rsidR="0078394C" w:rsidRPr="0078394C" w:rsidRDefault="0078394C" w:rsidP="0078394C">
            <w:pPr>
              <w:jc w:val="center"/>
              <w:rPr>
                <w:i/>
                <w:sz w:val="20"/>
                <w:szCs w:val="20"/>
              </w:rPr>
            </w:pPr>
            <w:r w:rsidRPr="0078394C">
              <w:rPr>
                <w:i/>
                <w:sz w:val="20"/>
                <w:szCs w:val="20"/>
              </w:rPr>
              <w:t>лиц и индивидуальных предпринимателей (иной номер, присвоенный в иностранном государстве)</w:t>
            </w:r>
          </w:p>
        </w:tc>
        <w:tc>
          <w:tcPr>
            <w:tcW w:w="142" w:type="dxa"/>
          </w:tcPr>
          <w:p w:rsidR="0078394C" w:rsidRPr="0078394C" w:rsidRDefault="0078394C" w:rsidP="0078394C">
            <w:pPr>
              <w:jc w:val="center"/>
              <w:rPr>
                <w:i/>
                <w:sz w:val="20"/>
                <w:szCs w:val="20"/>
              </w:rPr>
            </w:pPr>
          </w:p>
        </w:tc>
      </w:tr>
    </w:tbl>
    <w:p w:rsidR="0078394C" w:rsidRPr="0078394C" w:rsidRDefault="0078394C" w:rsidP="0078394C">
      <w:pPr>
        <w:jc w:val="both"/>
        <w:rPr>
          <w:spacing w:val="-6"/>
        </w:rPr>
      </w:pPr>
      <w:r w:rsidRPr="0078394C">
        <w:rPr>
          <w:spacing w:val="-6"/>
        </w:rPr>
        <w:t>являясь законным представителем указанного лица и действуя от его имени на основании</w:t>
      </w:r>
    </w:p>
    <w:tbl>
      <w:tblPr>
        <w:tblStyle w:val="1"/>
        <w:tblW w:w="10065"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9640"/>
        <w:gridCol w:w="425"/>
      </w:tblGrid>
      <w:tr w:rsidR="0078394C" w:rsidRPr="0078394C" w:rsidTr="00A76D94">
        <w:trPr>
          <w:trHeight w:val="20"/>
        </w:trPr>
        <w:tc>
          <w:tcPr>
            <w:tcW w:w="10065" w:type="dxa"/>
            <w:gridSpan w:val="2"/>
            <w:tcBorders>
              <w:top w:val="nil"/>
              <w:left w:val="nil"/>
              <w:bottom w:val="single" w:sz="4" w:space="0" w:color="auto"/>
              <w:right w:val="nil"/>
            </w:tcBorders>
            <w:vAlign w:val="bottom"/>
          </w:tcPr>
          <w:p w:rsidR="0078394C" w:rsidRPr="0078394C" w:rsidRDefault="0078394C" w:rsidP="0078394C">
            <w:pPr>
              <w:jc w:val="center"/>
              <w:rPr>
                <w:sz w:val="26"/>
                <w:szCs w:val="26"/>
              </w:rPr>
            </w:pPr>
          </w:p>
        </w:tc>
      </w:tr>
      <w:tr w:rsidR="0078394C" w:rsidRPr="0078394C" w:rsidTr="00A76D94">
        <w:trPr>
          <w:trHeight w:val="20"/>
        </w:trPr>
        <w:tc>
          <w:tcPr>
            <w:tcW w:w="10065" w:type="dxa"/>
            <w:gridSpan w:val="2"/>
            <w:tcBorders>
              <w:top w:val="single" w:sz="4" w:space="0" w:color="auto"/>
              <w:left w:val="nil"/>
              <w:bottom w:val="nil"/>
              <w:right w:val="nil"/>
            </w:tcBorders>
            <w:vAlign w:val="bottom"/>
            <w:hideMark/>
          </w:tcPr>
          <w:p w:rsidR="0078394C" w:rsidRPr="0078394C" w:rsidRDefault="0078394C" w:rsidP="0078394C">
            <w:pPr>
              <w:jc w:val="center"/>
              <w:rPr>
                <w:i/>
                <w:sz w:val="20"/>
                <w:szCs w:val="20"/>
              </w:rPr>
            </w:pPr>
            <w:r w:rsidRPr="0078394C">
              <w:rPr>
                <w:i/>
                <w:sz w:val="20"/>
                <w:szCs w:val="20"/>
              </w:rPr>
              <w:t>(реквизиты документа, подтверждающего полномочия</w:t>
            </w:r>
          </w:p>
        </w:tc>
      </w:tr>
      <w:tr w:rsidR="0078394C" w:rsidRPr="0078394C" w:rsidTr="00A76D94">
        <w:trPr>
          <w:trHeight w:val="20"/>
        </w:trPr>
        <w:tc>
          <w:tcPr>
            <w:tcW w:w="9640" w:type="dxa"/>
            <w:tcBorders>
              <w:top w:val="nil"/>
              <w:left w:val="nil"/>
              <w:bottom w:val="single" w:sz="4" w:space="0" w:color="auto"/>
              <w:right w:val="nil"/>
            </w:tcBorders>
            <w:vAlign w:val="bottom"/>
          </w:tcPr>
          <w:p w:rsidR="0078394C" w:rsidRPr="0078394C" w:rsidRDefault="0078394C" w:rsidP="0078394C">
            <w:pPr>
              <w:jc w:val="center"/>
              <w:rPr>
                <w:sz w:val="26"/>
                <w:szCs w:val="26"/>
              </w:rPr>
            </w:pPr>
          </w:p>
        </w:tc>
        <w:tc>
          <w:tcPr>
            <w:tcW w:w="425" w:type="dxa"/>
            <w:hideMark/>
          </w:tcPr>
          <w:p w:rsidR="0078394C" w:rsidRPr="0078394C" w:rsidRDefault="0078394C" w:rsidP="0078394C">
            <w:pPr>
              <w:rPr>
                <w:sz w:val="26"/>
                <w:szCs w:val="26"/>
              </w:rPr>
            </w:pPr>
            <w:r w:rsidRPr="0078394C">
              <w:rPr>
                <w:sz w:val="26"/>
                <w:szCs w:val="26"/>
              </w:rPr>
              <w:t>,**</w:t>
            </w:r>
          </w:p>
        </w:tc>
      </w:tr>
      <w:tr w:rsidR="0078394C" w:rsidRPr="0078394C" w:rsidTr="00A76D94">
        <w:trPr>
          <w:trHeight w:val="20"/>
        </w:trPr>
        <w:tc>
          <w:tcPr>
            <w:tcW w:w="9640" w:type="dxa"/>
            <w:tcBorders>
              <w:top w:val="single" w:sz="4" w:space="0" w:color="auto"/>
              <w:left w:val="nil"/>
              <w:bottom w:val="nil"/>
              <w:right w:val="nil"/>
            </w:tcBorders>
            <w:vAlign w:val="bottom"/>
            <w:hideMark/>
          </w:tcPr>
          <w:p w:rsidR="0078394C" w:rsidRPr="0078394C" w:rsidRDefault="0078394C" w:rsidP="0078394C">
            <w:pPr>
              <w:jc w:val="center"/>
              <w:rPr>
                <w:i/>
                <w:sz w:val="20"/>
                <w:szCs w:val="20"/>
              </w:rPr>
            </w:pPr>
            <w:r w:rsidRPr="0078394C">
              <w:rPr>
                <w:i/>
                <w:sz w:val="20"/>
                <w:szCs w:val="20"/>
              </w:rPr>
              <w:t>законного представителя)</w:t>
            </w:r>
          </w:p>
        </w:tc>
        <w:tc>
          <w:tcPr>
            <w:tcW w:w="425" w:type="dxa"/>
          </w:tcPr>
          <w:p w:rsidR="0078394C" w:rsidRPr="0078394C" w:rsidRDefault="0078394C" w:rsidP="0078394C">
            <w:pPr>
              <w:jc w:val="center"/>
              <w:rPr>
                <w:i/>
                <w:sz w:val="20"/>
                <w:szCs w:val="20"/>
              </w:rPr>
            </w:pPr>
          </w:p>
        </w:tc>
      </w:tr>
    </w:tbl>
    <w:p w:rsidR="0078394C" w:rsidRPr="0078394C" w:rsidRDefault="0078394C" w:rsidP="0078394C">
      <w:pPr>
        <w:ind w:firstLine="567"/>
        <w:jc w:val="both"/>
      </w:pPr>
    </w:p>
    <w:p w:rsidR="0078394C" w:rsidRPr="0078394C" w:rsidRDefault="0078394C" w:rsidP="0078394C">
      <w:pPr>
        <w:ind w:firstLine="567"/>
        <w:jc w:val="both"/>
      </w:pPr>
      <w:r w:rsidRPr="0078394C">
        <w:t xml:space="preserve">в соответствии со статьей 5 Закона Республики Беларусь «О защите персональных данных» даю согласие на обработку моих персональных данных (персональных данных лица, законным представителем которого являюсь) </w:t>
      </w:r>
      <w:r w:rsidRPr="0078394C">
        <w:rPr>
          <w:b/>
        </w:rPr>
        <w:t xml:space="preserve">МВД Республики Беларусь, г. Минск, </w:t>
      </w:r>
      <w:r w:rsidRPr="0078394C">
        <w:rPr>
          <w:b/>
        </w:rPr>
        <w:br/>
        <w:t>ул. Городской Вал, 2</w:t>
      </w:r>
      <w:r w:rsidRPr="0078394C">
        <w:t xml:space="preserve">, в целях предоставления </w:t>
      </w:r>
      <w:r w:rsidRPr="0078394C">
        <w:rPr>
          <w:b/>
        </w:rPr>
        <w:t xml:space="preserve">ОАО «Сбер Банк», г. Минск, </w:t>
      </w:r>
      <w:r w:rsidRPr="0078394C">
        <w:rPr>
          <w:b/>
        </w:rPr>
        <w:br/>
        <w:t>пр-т Независимости, 32А-1</w:t>
      </w:r>
      <w:r w:rsidRPr="0078394C">
        <w:t xml:space="preserve">, сведений о правонарушениях в отношении меня (лица, законным представителем которого   являюсь) либо    информации   об   отсутствии   таких   сведений   в   едином государственном банке данных о правонарушениях в следующем объеме: </w:t>
      </w:r>
      <w:r w:rsidRPr="0078394C">
        <w:br/>
      </w:r>
      <w:r w:rsidRPr="0078394C">
        <w:rPr>
          <w:sz w:val="26"/>
          <w:szCs w:val="26"/>
          <w:u w:val="single"/>
        </w:rPr>
        <w:t>о судимости и привлечении к административной ответственности.</w:t>
      </w:r>
    </w:p>
    <w:p w:rsidR="0078394C" w:rsidRPr="0078394C" w:rsidRDefault="0078394C" w:rsidP="0078394C">
      <w:pPr>
        <w:ind w:firstLine="567"/>
        <w:jc w:val="both"/>
      </w:pPr>
      <w:r w:rsidRPr="0078394C">
        <w:t>Согласен(на) на сбор, хранение, использование, уточнение, предоставление сведений о правонарушениях, а также другие действия, необходимые для достижения указанной цели, с использованием средств автоматизации и без их использования до передачи указанному государственному органу, иной организации (адвокату, нотариусу) информации в объеме, на который дано согласие.</w:t>
      </w:r>
    </w:p>
    <w:p w:rsidR="0078394C" w:rsidRPr="0078394C" w:rsidRDefault="0078394C" w:rsidP="0078394C">
      <w:pPr>
        <w:ind w:firstLine="567"/>
        <w:jc w:val="both"/>
      </w:pPr>
      <w:r w:rsidRPr="0078394C">
        <w:t>Мне разъяснены права, связанные с обработкой персональных данных, механизм их реализации, а также последствия дачи мною согласия или отказа в даче такого согласия.</w:t>
      </w:r>
    </w:p>
    <w:p w:rsidR="0078394C" w:rsidRPr="0078394C" w:rsidRDefault="0078394C" w:rsidP="0078394C">
      <w:pPr>
        <w:jc w:val="both"/>
      </w:pPr>
    </w:p>
    <w:p w:rsidR="0078394C" w:rsidRPr="0078394C" w:rsidRDefault="0078394C" w:rsidP="0078394C">
      <w:pPr>
        <w:jc w:val="both"/>
      </w:pPr>
      <w:r w:rsidRPr="0078394C">
        <w:t>Согласие дано</w:t>
      </w:r>
    </w:p>
    <w:tbl>
      <w:tblPr>
        <w:tblStyle w:val="1"/>
        <w:tblW w:w="0" w:type="dxa"/>
        <w:tblInd w:w="-1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28" w:type="dxa"/>
        </w:tblCellMar>
        <w:tblLook w:val="04A0" w:firstRow="1" w:lastRow="0" w:firstColumn="1" w:lastColumn="0" w:noHBand="0" w:noVBand="1"/>
      </w:tblPr>
      <w:tblGrid>
        <w:gridCol w:w="1417"/>
        <w:gridCol w:w="340"/>
        <w:gridCol w:w="399"/>
        <w:gridCol w:w="1388"/>
        <w:gridCol w:w="2566"/>
        <w:gridCol w:w="695"/>
        <w:gridCol w:w="3260"/>
      </w:tblGrid>
      <w:tr w:rsidR="0078394C" w:rsidRPr="0078394C" w:rsidTr="00A76D94">
        <w:tc>
          <w:tcPr>
            <w:tcW w:w="1417" w:type="dxa"/>
            <w:tcBorders>
              <w:top w:val="nil"/>
              <w:left w:val="nil"/>
              <w:bottom w:val="single" w:sz="4" w:space="0" w:color="auto"/>
              <w:right w:val="nil"/>
            </w:tcBorders>
          </w:tcPr>
          <w:p w:rsidR="0078394C" w:rsidRPr="0078394C" w:rsidRDefault="0078394C" w:rsidP="0078394C">
            <w:pPr>
              <w:jc w:val="center"/>
            </w:pPr>
            <w:r w:rsidRPr="0078394C">
              <w:t>___________</w:t>
            </w:r>
          </w:p>
        </w:tc>
        <w:tc>
          <w:tcPr>
            <w:tcW w:w="340" w:type="dxa"/>
            <w:hideMark/>
          </w:tcPr>
          <w:p w:rsidR="0078394C" w:rsidRPr="0078394C" w:rsidRDefault="0078394C" w:rsidP="0078394C">
            <w:pPr>
              <w:jc w:val="center"/>
            </w:pPr>
            <w:r w:rsidRPr="0078394C">
              <w:t>20</w:t>
            </w:r>
          </w:p>
        </w:tc>
        <w:tc>
          <w:tcPr>
            <w:tcW w:w="399" w:type="dxa"/>
            <w:tcBorders>
              <w:top w:val="nil"/>
              <w:left w:val="nil"/>
              <w:bottom w:val="single" w:sz="4" w:space="0" w:color="auto"/>
              <w:right w:val="nil"/>
            </w:tcBorders>
          </w:tcPr>
          <w:p w:rsidR="0078394C" w:rsidRPr="0078394C" w:rsidRDefault="0078394C" w:rsidP="0078394C">
            <w:pPr>
              <w:jc w:val="center"/>
            </w:pPr>
            <w:r w:rsidRPr="0078394C">
              <w:t>__</w:t>
            </w:r>
          </w:p>
        </w:tc>
        <w:tc>
          <w:tcPr>
            <w:tcW w:w="1388" w:type="dxa"/>
            <w:hideMark/>
          </w:tcPr>
          <w:p w:rsidR="0078394C" w:rsidRPr="0078394C" w:rsidRDefault="0078394C" w:rsidP="0078394C">
            <w:r w:rsidRPr="0078394C">
              <w:t>г.</w:t>
            </w:r>
          </w:p>
        </w:tc>
        <w:tc>
          <w:tcPr>
            <w:tcW w:w="2566" w:type="dxa"/>
            <w:tcBorders>
              <w:top w:val="nil"/>
              <w:left w:val="nil"/>
              <w:bottom w:val="single" w:sz="4" w:space="0" w:color="auto"/>
              <w:right w:val="nil"/>
            </w:tcBorders>
          </w:tcPr>
          <w:p w:rsidR="0078394C" w:rsidRPr="0078394C" w:rsidRDefault="0078394C" w:rsidP="0078394C">
            <w:pPr>
              <w:jc w:val="center"/>
            </w:pPr>
            <w:r w:rsidRPr="0078394C">
              <w:t>______________</w:t>
            </w:r>
          </w:p>
        </w:tc>
        <w:tc>
          <w:tcPr>
            <w:tcW w:w="695" w:type="dxa"/>
            <w:vMerge w:val="restart"/>
          </w:tcPr>
          <w:p w:rsidR="0078394C" w:rsidRPr="0078394C" w:rsidRDefault="0078394C" w:rsidP="0078394C"/>
        </w:tc>
        <w:tc>
          <w:tcPr>
            <w:tcW w:w="3260" w:type="dxa"/>
            <w:tcBorders>
              <w:top w:val="nil"/>
              <w:left w:val="nil"/>
              <w:bottom w:val="single" w:sz="4" w:space="0" w:color="auto"/>
              <w:right w:val="nil"/>
            </w:tcBorders>
          </w:tcPr>
          <w:p w:rsidR="0078394C" w:rsidRPr="0078394C" w:rsidRDefault="0078394C" w:rsidP="0078394C">
            <w:pPr>
              <w:jc w:val="center"/>
            </w:pPr>
            <w:r w:rsidRPr="0078394C">
              <w:t>___________________</w:t>
            </w:r>
          </w:p>
        </w:tc>
      </w:tr>
      <w:tr w:rsidR="0078394C" w:rsidRPr="0078394C" w:rsidTr="00A76D94">
        <w:tc>
          <w:tcPr>
            <w:tcW w:w="2156" w:type="dxa"/>
            <w:gridSpan w:val="3"/>
            <w:hideMark/>
          </w:tcPr>
          <w:p w:rsidR="0078394C" w:rsidRPr="0078394C" w:rsidRDefault="0078394C" w:rsidP="0078394C">
            <w:pPr>
              <w:jc w:val="center"/>
              <w:rPr>
                <w:i/>
                <w:sz w:val="20"/>
                <w:szCs w:val="20"/>
              </w:rPr>
            </w:pPr>
            <w:r w:rsidRPr="0078394C">
              <w:rPr>
                <w:i/>
                <w:sz w:val="20"/>
                <w:szCs w:val="20"/>
              </w:rPr>
              <w:t>(дата)</w:t>
            </w:r>
          </w:p>
        </w:tc>
        <w:tc>
          <w:tcPr>
            <w:tcW w:w="1388" w:type="dxa"/>
          </w:tcPr>
          <w:p w:rsidR="0078394C" w:rsidRPr="0078394C" w:rsidRDefault="0078394C" w:rsidP="0078394C">
            <w:pPr>
              <w:jc w:val="center"/>
              <w:rPr>
                <w:i/>
                <w:sz w:val="20"/>
                <w:szCs w:val="20"/>
              </w:rPr>
            </w:pPr>
          </w:p>
        </w:tc>
        <w:tc>
          <w:tcPr>
            <w:tcW w:w="2566" w:type="dxa"/>
            <w:tcBorders>
              <w:top w:val="single" w:sz="4" w:space="0" w:color="auto"/>
              <w:left w:val="nil"/>
              <w:bottom w:val="nil"/>
              <w:right w:val="nil"/>
            </w:tcBorders>
            <w:hideMark/>
          </w:tcPr>
          <w:p w:rsidR="0078394C" w:rsidRPr="0078394C" w:rsidRDefault="0078394C" w:rsidP="0078394C">
            <w:pPr>
              <w:jc w:val="center"/>
              <w:rPr>
                <w:i/>
                <w:sz w:val="20"/>
                <w:szCs w:val="20"/>
              </w:rPr>
            </w:pPr>
            <w:r w:rsidRPr="0078394C">
              <w:rPr>
                <w:i/>
                <w:sz w:val="20"/>
                <w:szCs w:val="20"/>
              </w:rPr>
              <w:t>(подпись)</w:t>
            </w:r>
          </w:p>
        </w:tc>
        <w:tc>
          <w:tcPr>
            <w:tcW w:w="695" w:type="dxa"/>
            <w:vMerge/>
            <w:vAlign w:val="center"/>
            <w:hideMark/>
          </w:tcPr>
          <w:p w:rsidR="0078394C" w:rsidRPr="0078394C" w:rsidRDefault="0078394C" w:rsidP="0078394C"/>
        </w:tc>
        <w:tc>
          <w:tcPr>
            <w:tcW w:w="3260" w:type="dxa"/>
            <w:tcBorders>
              <w:top w:val="single" w:sz="4" w:space="0" w:color="auto"/>
              <w:left w:val="nil"/>
              <w:bottom w:val="nil"/>
              <w:right w:val="nil"/>
            </w:tcBorders>
            <w:hideMark/>
          </w:tcPr>
          <w:p w:rsidR="0078394C" w:rsidRPr="0078394C" w:rsidRDefault="0078394C" w:rsidP="0078394C">
            <w:pPr>
              <w:jc w:val="center"/>
              <w:rPr>
                <w:i/>
                <w:sz w:val="20"/>
                <w:szCs w:val="20"/>
              </w:rPr>
            </w:pPr>
            <w:r w:rsidRPr="0078394C">
              <w:rPr>
                <w:i/>
                <w:sz w:val="20"/>
                <w:szCs w:val="20"/>
              </w:rPr>
              <w:t>(инициалы и фамилия)</w:t>
            </w:r>
          </w:p>
        </w:tc>
      </w:tr>
    </w:tbl>
    <w:p w:rsidR="0078394C" w:rsidRPr="0078394C" w:rsidRDefault="0078394C" w:rsidP="0078394C">
      <w:pPr>
        <w:jc w:val="both"/>
        <w:rPr>
          <w:sz w:val="20"/>
          <w:szCs w:val="20"/>
        </w:rPr>
      </w:pPr>
      <w:r w:rsidRPr="0078394C">
        <w:rPr>
          <w:sz w:val="20"/>
          <w:szCs w:val="20"/>
        </w:rPr>
        <w:t>______________________________</w:t>
      </w:r>
    </w:p>
    <w:p w:rsidR="0078394C" w:rsidRPr="0078394C" w:rsidRDefault="0078394C" w:rsidP="0078394C">
      <w:pPr>
        <w:ind w:firstLine="567"/>
        <w:jc w:val="both"/>
        <w:rPr>
          <w:sz w:val="20"/>
          <w:szCs w:val="20"/>
        </w:rPr>
      </w:pPr>
      <w:r w:rsidRPr="0078394C">
        <w:rPr>
          <w:sz w:val="20"/>
          <w:szCs w:val="20"/>
        </w:rPr>
        <w:t>* Настоящее согласие заполняется физическим лицом (его законным представителем), в том числе индивидуальным предпринимателем, дающим согласие, собственноручно (печатными буквами, четко и разборчиво, синими или черными чернилами) либо с помощью технических средств на русском или белорусском языке. Фамилия, собственное имя, отчество (если таковое имеется) физического лица (его законного представителя), в том числе индивидуального предпринимателя, указываются в именительном падеже. Исправления в настоящем согласии не допускаются.</w:t>
      </w:r>
    </w:p>
    <w:p w:rsidR="0078394C" w:rsidRPr="0078394C" w:rsidRDefault="0078394C" w:rsidP="0078394C">
      <w:pPr>
        <w:ind w:firstLine="567"/>
        <w:jc w:val="both"/>
        <w:rPr>
          <w:sz w:val="20"/>
          <w:szCs w:val="20"/>
        </w:rPr>
      </w:pPr>
      <w:r w:rsidRPr="0078394C">
        <w:rPr>
          <w:sz w:val="20"/>
          <w:szCs w:val="20"/>
        </w:rPr>
        <w:t>** Заполняется в случае, если согласие дает законный представитель.</w:t>
      </w:r>
    </w:p>
    <w:p w:rsidR="0078394C" w:rsidRPr="0078394C" w:rsidRDefault="0078394C" w:rsidP="0078394C">
      <w:pPr>
        <w:ind w:firstLine="567"/>
        <w:jc w:val="both"/>
        <w:rPr>
          <w:sz w:val="20"/>
          <w:szCs w:val="20"/>
        </w:rPr>
      </w:pPr>
      <w:r w:rsidRPr="0078394C">
        <w:rPr>
          <w:sz w:val="20"/>
          <w:szCs w:val="20"/>
        </w:rPr>
        <w:t>*** Не заполняется в случае получения согласия в виде электронного документа.</w:t>
      </w:r>
    </w:p>
    <w:p w:rsidR="0078394C" w:rsidRPr="0078394C" w:rsidRDefault="0078394C" w:rsidP="0078394C">
      <w:pPr>
        <w:spacing w:line="276" w:lineRule="auto"/>
        <w:jc w:val="right"/>
        <w:rPr>
          <w:sz w:val="26"/>
          <w:szCs w:val="26"/>
        </w:rPr>
      </w:pPr>
      <w:r w:rsidRPr="0078394C">
        <w:rPr>
          <w:b/>
          <w:sz w:val="26"/>
          <w:szCs w:val="26"/>
        </w:rPr>
        <w:lastRenderedPageBreak/>
        <w:t xml:space="preserve"> </w:t>
      </w:r>
      <w:r w:rsidRPr="0078394C">
        <w:rPr>
          <w:szCs w:val="26"/>
        </w:rPr>
        <w:t>Приложение 3 к Приглашению</w:t>
      </w:r>
    </w:p>
    <w:p w:rsidR="0078394C" w:rsidRPr="0078394C" w:rsidRDefault="0078394C" w:rsidP="0078394C">
      <w:pPr>
        <w:ind w:firstLine="708"/>
        <w:jc w:val="center"/>
        <w:rPr>
          <w:b/>
        </w:rPr>
      </w:pPr>
      <w:r w:rsidRPr="0078394C">
        <w:rPr>
          <w:b/>
        </w:rPr>
        <w:t>Антикоррупционная оговорка</w:t>
      </w:r>
    </w:p>
    <w:p w:rsidR="0078394C" w:rsidRPr="0078394C" w:rsidRDefault="0078394C" w:rsidP="0078394C">
      <w:pPr>
        <w:ind w:firstLine="709"/>
        <w:contextualSpacing/>
        <w:jc w:val="both"/>
        <w:rPr>
          <w:iCs/>
        </w:rPr>
      </w:pPr>
      <w:r w:rsidRPr="0078394C">
        <w:rPr>
          <w:iCs/>
        </w:rPr>
        <w:t>При заключении, исполнении, изменении и расторжении Договора</w:t>
      </w:r>
      <w:r w:rsidRPr="0078394C">
        <w:rPr>
          <w:iCs/>
          <w:vertAlign w:val="superscript"/>
        </w:rPr>
        <w:footnoteReference w:id="1"/>
      </w:r>
      <w:r w:rsidRPr="0078394C">
        <w:rPr>
          <w:iCs/>
        </w:rPr>
        <w:t xml:space="preserve"> Стороны принимают на себя следующие обязательства:</w:t>
      </w:r>
    </w:p>
    <w:p w:rsidR="0078394C" w:rsidRPr="0078394C" w:rsidRDefault="0078394C" w:rsidP="0078394C">
      <w:pPr>
        <w:ind w:firstLine="709"/>
        <w:contextualSpacing/>
        <w:jc w:val="both"/>
        <w:rPr>
          <w:iCs/>
        </w:rPr>
      </w:pPr>
      <w:r w:rsidRPr="0078394C">
        <w:rPr>
          <w:iCs/>
        </w:rPr>
        <w:t>Стороны по Договору не предлагают, не обещают, не требуют, не разрешают предоставление, не предоставляют каких-либо денег, ценных бумаг, иного имущества, не оказывают услуги имущественного характера, не выполняют работы, не предоставляют какие-либо имущественные права, прямо или косвенно, лично или через посредников любым лицам для оказания влияния на действия (бездействие) и/или решения этих и/или других лиц с целью получения каких-либо выгод (преимуществ) или для достижения иных целей.</w:t>
      </w:r>
    </w:p>
    <w:p w:rsidR="0078394C" w:rsidRPr="0078394C" w:rsidRDefault="0078394C" w:rsidP="0078394C">
      <w:pPr>
        <w:ind w:firstLine="709"/>
        <w:contextualSpacing/>
        <w:jc w:val="both"/>
        <w:rPr>
          <w:iCs/>
        </w:rPr>
      </w:pPr>
      <w:r w:rsidRPr="0078394C">
        <w:rPr>
          <w:iCs/>
        </w:rPr>
        <w:t>Стороны по Договору не осуществляют действия (бездействие), квалифицируемые применимым законодательством как дача/получение взятки, коммерческий подкуп, посредничество во взяточничестве/коммерческом подкупе, злоупотребление полномочиями, незаконное вознаграждение от имени юридического лица, а также иные действия (бездействие), нарушающие требования применимого законодательства и применимых норм международного права в области противодействия коррупции.</w:t>
      </w:r>
    </w:p>
    <w:p w:rsidR="0078394C" w:rsidRPr="0078394C" w:rsidRDefault="0078394C" w:rsidP="0078394C">
      <w:pPr>
        <w:ind w:firstLine="709"/>
        <w:contextualSpacing/>
        <w:jc w:val="both"/>
        <w:rPr>
          <w:iCs/>
        </w:rPr>
      </w:pPr>
      <w:r w:rsidRPr="0078394C">
        <w:rPr>
          <w:iCs/>
        </w:rPr>
        <w:t>Стороны уведомляют друг друга о ставших известными им обстоятельствах, которые являются или могут явиться основанием для возникновения конфликта интересов; воздерживаются от совершения действий (бездействия), влекущих за собой возникновение или создающих угрозу возникновения конфликта интересов; оказывают иное содействие друг другу в целях выявления, предупреждения и предотвращения коррупционных правонарушений и конфликтов интересов в рамках и в связи с отношениями Сторон по Договору.</w:t>
      </w:r>
    </w:p>
    <w:p w:rsidR="0078394C" w:rsidRPr="0078394C" w:rsidRDefault="0078394C" w:rsidP="0078394C">
      <w:pPr>
        <w:ind w:firstLine="709"/>
        <w:contextualSpacing/>
        <w:jc w:val="both"/>
        <w:rPr>
          <w:iCs/>
        </w:rPr>
      </w:pPr>
      <w:r w:rsidRPr="0078394C">
        <w:rPr>
          <w:iCs/>
        </w:rPr>
        <w:t>В случае появления у Стороны сведений о фактическом или возможном нарушении другой Стороной по Договору вышеуказанных пунктов Договора, такая Сторона обязуется незамедлительно письменно уведомить другую Сторону об этом. Такое уведомление должно содержать указание на реквизиты Договора, описание фактических обстоятельств, связанных с нарушением коррупционной направленности, которые послужили основанием для направления уведомления. К уведомлению должны быть приложены подтверждающие документы и/или материалы.</w:t>
      </w:r>
    </w:p>
    <w:p w:rsidR="0078394C" w:rsidRPr="0078394C" w:rsidRDefault="0078394C" w:rsidP="0078394C">
      <w:pPr>
        <w:ind w:firstLine="709"/>
        <w:contextualSpacing/>
        <w:jc w:val="both"/>
        <w:rPr>
          <w:iCs/>
        </w:rPr>
      </w:pPr>
      <w:r w:rsidRPr="0078394C">
        <w:rPr>
          <w:iCs/>
        </w:rPr>
        <w:t>Сторона, получившая уведомление, обеспечивает его конфиденциальное рассмотрение, а также направляет другой Стороне мотивированный ответ в течение 30 (тридцати) календарных дней с даты получения уведомления. В случае несогласия Стороны, получившей уведомление, c предоставленными в уведомлении обстоятельствами, связанными с нарушением коррупционной направленности, которые послужили основанием для направления уведомления и/или подтверждающими документами и/или материалами, в своем ответе она должна привести возражения в отношении направленных сведений о нарушении коррупционной направленности.</w:t>
      </w:r>
    </w:p>
    <w:p w:rsidR="0078394C" w:rsidRPr="0078394C" w:rsidRDefault="0078394C" w:rsidP="0078394C">
      <w:pPr>
        <w:ind w:firstLine="709"/>
        <w:contextualSpacing/>
        <w:jc w:val="both"/>
        <w:rPr>
          <w:iCs/>
        </w:rPr>
      </w:pPr>
      <w:r w:rsidRPr="0078394C">
        <w:rPr>
          <w:iCs/>
        </w:rPr>
        <w:t>В случаях получения Стороной от другой Стороны ответа, подтверждающего нарушение коррупционной направленности, или отсутствия в полученном Стороной ответе от другой Стороны</w:t>
      </w:r>
      <w:r w:rsidRPr="0078394C" w:rsidDel="002A25C9">
        <w:rPr>
          <w:iCs/>
        </w:rPr>
        <w:t xml:space="preserve"> </w:t>
      </w:r>
      <w:r w:rsidRPr="0078394C">
        <w:rPr>
          <w:iCs/>
        </w:rPr>
        <w:t>возражений в отношении направленных сведений о нарушении коррупционной направленности, Сторона вправе расторгнуть Договор в одностороннем внесудебном порядке, направив письменное уведомление о расторжении.</w:t>
      </w:r>
    </w:p>
    <w:p w:rsidR="0078394C" w:rsidRPr="0078394C" w:rsidRDefault="0078394C" w:rsidP="0078394C">
      <w:pPr>
        <w:ind w:firstLine="709"/>
        <w:contextualSpacing/>
        <w:jc w:val="both"/>
      </w:pPr>
      <w:r w:rsidRPr="0078394C">
        <w:rPr>
          <w:iCs/>
        </w:rPr>
        <w:t>Договор считается расторгнутым по истечении 10 (десяти) календарных дней с даты получения другой Стороной соответствующего письменного уведомления о расторжении Договора. Сторона, по инициативе которой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 Договора.</w:t>
      </w:r>
    </w:p>
    <w:p w:rsidR="002F1503" w:rsidRDefault="002F1503" w:rsidP="002F1503">
      <w:pPr>
        <w:jc w:val="both"/>
        <w:rPr>
          <w:sz w:val="28"/>
          <w:szCs w:val="28"/>
        </w:rPr>
      </w:pPr>
    </w:p>
    <w:sectPr w:rsidR="002F1503" w:rsidSect="008D288E">
      <w:headerReference w:type="default" r:id="rId7"/>
      <w:pgSz w:w="11906" w:h="16838"/>
      <w:pgMar w:top="1134" w:right="567"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7932" w:rsidRDefault="00387932" w:rsidP="004A5CF6">
      <w:r>
        <w:separator/>
      </w:r>
    </w:p>
  </w:endnote>
  <w:endnote w:type="continuationSeparator" w:id="0">
    <w:p w:rsidR="00387932" w:rsidRDefault="00387932" w:rsidP="004A5C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
    <w:altName w:val="Arial Unicode MS"/>
    <w:charset w:val="80"/>
    <w:family w:val="swiss"/>
    <w:pitch w:val="variable"/>
    <w:sig w:usb0="21003A87" w:usb1="090F0000" w:usb2="00000010"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7932" w:rsidRDefault="00387932" w:rsidP="004A5CF6">
      <w:r>
        <w:separator/>
      </w:r>
    </w:p>
  </w:footnote>
  <w:footnote w:type="continuationSeparator" w:id="0">
    <w:p w:rsidR="00387932" w:rsidRDefault="00387932" w:rsidP="004A5CF6">
      <w:r>
        <w:continuationSeparator/>
      </w:r>
    </w:p>
  </w:footnote>
  <w:footnote w:id="1">
    <w:p w:rsidR="0078394C" w:rsidRDefault="0078394C" w:rsidP="0078394C">
      <w:pPr>
        <w:pStyle w:val="ad"/>
        <w:jc w:val="both"/>
      </w:pPr>
      <w:r>
        <w:rPr>
          <w:rStyle w:val="af"/>
        </w:rPr>
        <w:footnoteRef/>
      </w:r>
      <w:r>
        <w:t xml:space="preserve"> При необходимости термин «Договор» по тексту раздела заменяется</w:t>
      </w:r>
      <w:r w:rsidRPr="00A15485">
        <w:t xml:space="preserve"> </w:t>
      </w:r>
      <w:r>
        <w:t xml:space="preserve">на другой термин, соответствующий наименованию и содержанию документа, в котором находится раздел (например, контракт, соглашение).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2099839"/>
      <w:docPartObj>
        <w:docPartGallery w:val="Page Numbers (Top of Page)"/>
        <w:docPartUnique/>
      </w:docPartObj>
    </w:sdtPr>
    <w:sdtEndPr/>
    <w:sdtContent>
      <w:p w:rsidR="004A5CF6" w:rsidRDefault="004A5CF6">
        <w:pPr>
          <w:pStyle w:val="a5"/>
          <w:jc w:val="center"/>
        </w:pPr>
        <w:r>
          <w:fldChar w:fldCharType="begin"/>
        </w:r>
        <w:r>
          <w:instrText>PAGE   \* MERGEFORMAT</w:instrText>
        </w:r>
        <w:r>
          <w:fldChar w:fldCharType="separate"/>
        </w:r>
        <w:r w:rsidR="00CE7C13">
          <w:rPr>
            <w:noProof/>
          </w:rPr>
          <w:t>5</w:t>
        </w:r>
        <w:r>
          <w:fldChar w:fldCharType="end"/>
        </w:r>
      </w:p>
    </w:sdtContent>
  </w:sdt>
  <w:p w:rsidR="004A5CF6" w:rsidRDefault="004A5CF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1689B"/>
    <w:multiLevelType w:val="hybridMultilevel"/>
    <w:tmpl w:val="221CE49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1272C0"/>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0504F4"/>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21B0C0C"/>
    <w:multiLevelType w:val="multilevel"/>
    <w:tmpl w:val="94A88C48"/>
    <w:lvl w:ilvl="0">
      <w:start w:val="1"/>
      <w:numFmt w:val="decimal"/>
      <w:lvlText w:val="%1."/>
      <w:lvlJc w:val="left"/>
      <w:pPr>
        <w:ind w:left="7023" w:hanging="360"/>
      </w:pPr>
      <w:rPr>
        <w:rFonts w:hint="default"/>
        <w:b w:val="0"/>
      </w:rPr>
    </w:lvl>
    <w:lvl w:ilvl="1">
      <w:start w:val="1"/>
      <w:numFmt w:val="decimal"/>
      <w:lvlText w:val="%1.%2."/>
      <w:lvlJc w:val="left"/>
      <w:pPr>
        <w:ind w:left="792" w:hanging="432"/>
      </w:pPr>
    </w:lvl>
    <w:lvl w:ilvl="2">
      <w:start w:val="1"/>
      <w:numFmt w:val="decimal"/>
      <w:lvlText w:val="%1.%2.%3."/>
      <w:lvlJc w:val="left"/>
      <w:pPr>
        <w:ind w:left="461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41503F7"/>
    <w:multiLevelType w:val="hybridMultilevel"/>
    <w:tmpl w:val="F63AA0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447F51"/>
    <w:multiLevelType w:val="hybridMultilevel"/>
    <w:tmpl w:val="011027C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8D120E0"/>
    <w:multiLevelType w:val="hybridMultilevel"/>
    <w:tmpl w:val="E73EECB6"/>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9D97804"/>
    <w:multiLevelType w:val="hybridMultilevel"/>
    <w:tmpl w:val="B7EEDE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88E23B9"/>
    <w:multiLevelType w:val="hybridMultilevel"/>
    <w:tmpl w:val="E30CCF9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AC24439"/>
    <w:multiLevelType w:val="hybridMultilevel"/>
    <w:tmpl w:val="327C3BD8"/>
    <w:lvl w:ilvl="0" w:tplc="95FA2CBA">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8162A8"/>
    <w:multiLevelType w:val="hybridMultilevel"/>
    <w:tmpl w:val="F5D22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3CB360E"/>
    <w:multiLevelType w:val="hybridMultilevel"/>
    <w:tmpl w:val="C94260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B781699"/>
    <w:multiLevelType w:val="hybridMultilevel"/>
    <w:tmpl w:val="7F30DBA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DFA4C6C"/>
    <w:multiLevelType w:val="hybridMultilevel"/>
    <w:tmpl w:val="0C66E31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num w:numId="1">
    <w:abstractNumId w:val="6"/>
  </w:num>
  <w:num w:numId="2">
    <w:abstractNumId w:val="11"/>
  </w:num>
  <w:num w:numId="3">
    <w:abstractNumId w:val="13"/>
  </w:num>
  <w:num w:numId="4">
    <w:abstractNumId w:val="2"/>
  </w:num>
  <w:num w:numId="5">
    <w:abstractNumId w:val="9"/>
  </w:num>
  <w:num w:numId="6">
    <w:abstractNumId w:val="3"/>
  </w:num>
  <w:num w:numId="7">
    <w:abstractNumId w:val="12"/>
  </w:num>
  <w:num w:numId="8">
    <w:abstractNumId w:val="5"/>
  </w:num>
  <w:num w:numId="9">
    <w:abstractNumId w:val="0"/>
  </w:num>
  <w:num w:numId="10">
    <w:abstractNumId w:val="7"/>
  </w:num>
  <w:num w:numId="11">
    <w:abstractNumId w:val="8"/>
  </w:num>
  <w:num w:numId="12">
    <w:abstractNumId w:val="10"/>
  </w:num>
  <w:num w:numId="13">
    <w:abstractNumId w:val="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B35"/>
    <w:rsid w:val="00004EE8"/>
    <w:rsid w:val="00010788"/>
    <w:rsid w:val="0006148B"/>
    <w:rsid w:val="00062AB6"/>
    <w:rsid w:val="00062B60"/>
    <w:rsid w:val="000709B3"/>
    <w:rsid w:val="00092F99"/>
    <w:rsid w:val="000B316C"/>
    <w:rsid w:val="000C26CB"/>
    <w:rsid w:val="000D15EB"/>
    <w:rsid w:val="000E7896"/>
    <w:rsid w:val="000F0BC8"/>
    <w:rsid w:val="000F35A5"/>
    <w:rsid w:val="00110626"/>
    <w:rsid w:val="00111EF8"/>
    <w:rsid w:val="00117916"/>
    <w:rsid w:val="00126B0B"/>
    <w:rsid w:val="0012746A"/>
    <w:rsid w:val="00140CAB"/>
    <w:rsid w:val="00155093"/>
    <w:rsid w:val="00172824"/>
    <w:rsid w:val="00190254"/>
    <w:rsid w:val="001A0215"/>
    <w:rsid w:val="001A73D6"/>
    <w:rsid w:val="001B2CB6"/>
    <w:rsid w:val="001B6598"/>
    <w:rsid w:val="001E3386"/>
    <w:rsid w:val="001F601F"/>
    <w:rsid w:val="002274C3"/>
    <w:rsid w:val="00237E76"/>
    <w:rsid w:val="00256574"/>
    <w:rsid w:val="00271235"/>
    <w:rsid w:val="002A4C2D"/>
    <w:rsid w:val="002B7895"/>
    <w:rsid w:val="002F1503"/>
    <w:rsid w:val="003049E8"/>
    <w:rsid w:val="00305708"/>
    <w:rsid w:val="003133B5"/>
    <w:rsid w:val="00336A12"/>
    <w:rsid w:val="00350D1A"/>
    <w:rsid w:val="003541EE"/>
    <w:rsid w:val="00354844"/>
    <w:rsid w:val="00374B1E"/>
    <w:rsid w:val="00382167"/>
    <w:rsid w:val="00387932"/>
    <w:rsid w:val="00393088"/>
    <w:rsid w:val="003B4F64"/>
    <w:rsid w:val="003E2247"/>
    <w:rsid w:val="00426359"/>
    <w:rsid w:val="00431632"/>
    <w:rsid w:val="0043744A"/>
    <w:rsid w:val="004411F4"/>
    <w:rsid w:val="00445B72"/>
    <w:rsid w:val="00447A57"/>
    <w:rsid w:val="00490441"/>
    <w:rsid w:val="004A1CBA"/>
    <w:rsid w:val="004A5CF6"/>
    <w:rsid w:val="004C0D35"/>
    <w:rsid w:val="004F07FF"/>
    <w:rsid w:val="00510772"/>
    <w:rsid w:val="00560696"/>
    <w:rsid w:val="00572F88"/>
    <w:rsid w:val="005A5534"/>
    <w:rsid w:val="005B121C"/>
    <w:rsid w:val="005B6B54"/>
    <w:rsid w:val="005B7FE2"/>
    <w:rsid w:val="005D46CC"/>
    <w:rsid w:val="005D53D2"/>
    <w:rsid w:val="00600C83"/>
    <w:rsid w:val="006478CC"/>
    <w:rsid w:val="00662DED"/>
    <w:rsid w:val="0067192F"/>
    <w:rsid w:val="006773AC"/>
    <w:rsid w:val="006824EE"/>
    <w:rsid w:val="006866C2"/>
    <w:rsid w:val="006F11E1"/>
    <w:rsid w:val="007369AE"/>
    <w:rsid w:val="00742312"/>
    <w:rsid w:val="00761C8A"/>
    <w:rsid w:val="0076578C"/>
    <w:rsid w:val="007729D6"/>
    <w:rsid w:val="00780C1B"/>
    <w:rsid w:val="0078394C"/>
    <w:rsid w:val="007C3FC5"/>
    <w:rsid w:val="007C7A35"/>
    <w:rsid w:val="007D5349"/>
    <w:rsid w:val="0087551A"/>
    <w:rsid w:val="0088322C"/>
    <w:rsid w:val="0089190C"/>
    <w:rsid w:val="0089488E"/>
    <w:rsid w:val="008A0F22"/>
    <w:rsid w:val="008C3150"/>
    <w:rsid w:val="008C6B35"/>
    <w:rsid w:val="008D288E"/>
    <w:rsid w:val="008E469B"/>
    <w:rsid w:val="008F7E12"/>
    <w:rsid w:val="009135EE"/>
    <w:rsid w:val="00923037"/>
    <w:rsid w:val="009269C9"/>
    <w:rsid w:val="00926E65"/>
    <w:rsid w:val="00930F57"/>
    <w:rsid w:val="00932367"/>
    <w:rsid w:val="00933C9B"/>
    <w:rsid w:val="00952BAA"/>
    <w:rsid w:val="00952FA1"/>
    <w:rsid w:val="009673A9"/>
    <w:rsid w:val="00972B20"/>
    <w:rsid w:val="00992B90"/>
    <w:rsid w:val="009A1D80"/>
    <w:rsid w:val="009A4BB2"/>
    <w:rsid w:val="009B7B5C"/>
    <w:rsid w:val="009C006C"/>
    <w:rsid w:val="009D0B3D"/>
    <w:rsid w:val="009D2163"/>
    <w:rsid w:val="00A1461E"/>
    <w:rsid w:val="00A34C1A"/>
    <w:rsid w:val="00A441D8"/>
    <w:rsid w:val="00A46D8B"/>
    <w:rsid w:val="00A6418C"/>
    <w:rsid w:val="00A81D16"/>
    <w:rsid w:val="00A92FD2"/>
    <w:rsid w:val="00AA7402"/>
    <w:rsid w:val="00AC136B"/>
    <w:rsid w:val="00AE0138"/>
    <w:rsid w:val="00AE5282"/>
    <w:rsid w:val="00AF0572"/>
    <w:rsid w:val="00AF2BA9"/>
    <w:rsid w:val="00AF3F7C"/>
    <w:rsid w:val="00B345B1"/>
    <w:rsid w:val="00B67DF7"/>
    <w:rsid w:val="00B85F9A"/>
    <w:rsid w:val="00B87377"/>
    <w:rsid w:val="00B87B54"/>
    <w:rsid w:val="00BA5274"/>
    <w:rsid w:val="00BA5D81"/>
    <w:rsid w:val="00BB131F"/>
    <w:rsid w:val="00BB6B74"/>
    <w:rsid w:val="00BC57B2"/>
    <w:rsid w:val="00BE0FCC"/>
    <w:rsid w:val="00C02EC9"/>
    <w:rsid w:val="00C15EAC"/>
    <w:rsid w:val="00C249CD"/>
    <w:rsid w:val="00C26535"/>
    <w:rsid w:val="00C667A8"/>
    <w:rsid w:val="00CC10DC"/>
    <w:rsid w:val="00CC4AD6"/>
    <w:rsid w:val="00CE7C13"/>
    <w:rsid w:val="00CF6967"/>
    <w:rsid w:val="00D00378"/>
    <w:rsid w:val="00D004AD"/>
    <w:rsid w:val="00D00745"/>
    <w:rsid w:val="00D36BC4"/>
    <w:rsid w:val="00D40E90"/>
    <w:rsid w:val="00D46422"/>
    <w:rsid w:val="00DA44D1"/>
    <w:rsid w:val="00DC41C2"/>
    <w:rsid w:val="00E0682E"/>
    <w:rsid w:val="00E115C5"/>
    <w:rsid w:val="00E139D3"/>
    <w:rsid w:val="00E13F98"/>
    <w:rsid w:val="00E332D2"/>
    <w:rsid w:val="00E47445"/>
    <w:rsid w:val="00E47D97"/>
    <w:rsid w:val="00E74DFF"/>
    <w:rsid w:val="00E77526"/>
    <w:rsid w:val="00E8274E"/>
    <w:rsid w:val="00EA35FD"/>
    <w:rsid w:val="00EB5DD7"/>
    <w:rsid w:val="00EC55C9"/>
    <w:rsid w:val="00F063D3"/>
    <w:rsid w:val="00F07F95"/>
    <w:rsid w:val="00F17BF6"/>
    <w:rsid w:val="00F208B7"/>
    <w:rsid w:val="00F304B8"/>
    <w:rsid w:val="00F3136C"/>
    <w:rsid w:val="00F31544"/>
    <w:rsid w:val="00F357A0"/>
    <w:rsid w:val="00F42AF2"/>
    <w:rsid w:val="00F71B83"/>
    <w:rsid w:val="00F8606B"/>
    <w:rsid w:val="00FC56BE"/>
    <w:rsid w:val="00FD390C"/>
    <w:rsid w:val="00FD4265"/>
    <w:rsid w:val="00FE5585"/>
    <w:rsid w:val="00FF2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9E437"/>
  <w15:docId w15:val="{191AB5CD-7091-42DC-94B0-93B6F1F6A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2B9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92B90"/>
    <w:pPr>
      <w:spacing w:after="0" w:line="240" w:lineRule="auto"/>
    </w:pPr>
    <w:rPr>
      <w:rFonts w:ascii="Calibri" w:eastAsia="Calibri" w:hAnsi="Calibri" w:cs="Times New Roman"/>
    </w:rPr>
  </w:style>
  <w:style w:type="paragraph" w:customStyle="1" w:styleId="14">
    <w:name w:val="Основной 14+"/>
    <w:basedOn w:val="a"/>
    <w:link w:val="140"/>
    <w:rsid w:val="00BA5274"/>
    <w:pPr>
      <w:ind w:firstLine="709"/>
      <w:jc w:val="both"/>
    </w:pPr>
    <w:rPr>
      <w:sz w:val="28"/>
    </w:rPr>
  </w:style>
  <w:style w:type="character" w:customStyle="1" w:styleId="140">
    <w:name w:val="Основной 14+ Знак"/>
    <w:link w:val="14"/>
    <w:rsid w:val="00BA5274"/>
    <w:rPr>
      <w:rFonts w:ascii="Times New Roman" w:eastAsia="Times New Roman" w:hAnsi="Times New Roman" w:cs="Times New Roman"/>
      <w:sz w:val="28"/>
      <w:szCs w:val="24"/>
      <w:lang w:eastAsia="ru-RU"/>
    </w:rPr>
  </w:style>
  <w:style w:type="paragraph" w:customStyle="1" w:styleId="Default">
    <w:name w:val="Default"/>
    <w:rsid w:val="000D15EB"/>
    <w:pPr>
      <w:autoSpaceDE w:val="0"/>
      <w:autoSpaceDN w:val="0"/>
      <w:adjustRightInd w:val="0"/>
      <w:spacing w:after="0" w:line="240" w:lineRule="auto"/>
    </w:pPr>
    <w:rPr>
      <w:rFonts w:ascii="Arial" w:eastAsia="Calibri" w:hAnsi="Arial" w:cs="Arial"/>
      <w:color w:val="000000"/>
      <w:sz w:val="24"/>
      <w:szCs w:val="24"/>
    </w:rPr>
  </w:style>
  <w:style w:type="table" w:styleId="a4">
    <w:name w:val="Table Grid"/>
    <w:basedOn w:val="a1"/>
    <w:uiPriority w:val="59"/>
    <w:rsid w:val="004F07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4A5CF6"/>
    <w:pPr>
      <w:tabs>
        <w:tab w:val="center" w:pos="4677"/>
        <w:tab w:val="right" w:pos="9355"/>
      </w:tabs>
    </w:pPr>
  </w:style>
  <w:style w:type="character" w:customStyle="1" w:styleId="a6">
    <w:name w:val="Верхний колонтитул Знак"/>
    <w:basedOn w:val="a0"/>
    <w:link w:val="a5"/>
    <w:uiPriority w:val="99"/>
    <w:rsid w:val="004A5CF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4A5CF6"/>
    <w:pPr>
      <w:tabs>
        <w:tab w:val="center" w:pos="4677"/>
        <w:tab w:val="right" w:pos="9355"/>
      </w:tabs>
    </w:pPr>
  </w:style>
  <w:style w:type="character" w:customStyle="1" w:styleId="a8">
    <w:name w:val="Нижний колонтитул Знак"/>
    <w:basedOn w:val="a0"/>
    <w:link w:val="a7"/>
    <w:uiPriority w:val="99"/>
    <w:rsid w:val="004A5CF6"/>
    <w:rPr>
      <w:rFonts w:ascii="Times New Roman" w:eastAsia="Times New Roman" w:hAnsi="Times New Roman" w:cs="Times New Roman"/>
      <w:sz w:val="24"/>
      <w:szCs w:val="24"/>
      <w:lang w:eastAsia="ru-RU"/>
    </w:rPr>
  </w:style>
  <w:style w:type="character" w:styleId="a9">
    <w:name w:val="Hyperlink"/>
    <w:basedOn w:val="a0"/>
    <w:uiPriority w:val="99"/>
    <w:unhideWhenUsed/>
    <w:rsid w:val="002274C3"/>
    <w:rPr>
      <w:color w:val="0000FF" w:themeColor="hyperlink"/>
      <w:u w:val="single"/>
    </w:rPr>
  </w:style>
  <w:style w:type="paragraph" w:styleId="aa">
    <w:name w:val="List Paragraph"/>
    <w:basedOn w:val="a"/>
    <w:uiPriority w:val="34"/>
    <w:qFormat/>
    <w:rsid w:val="00190254"/>
    <w:pPr>
      <w:ind w:left="720"/>
      <w:contextualSpacing/>
    </w:pPr>
  </w:style>
  <w:style w:type="paragraph" w:styleId="ab">
    <w:name w:val="Balloon Text"/>
    <w:basedOn w:val="a"/>
    <w:link w:val="ac"/>
    <w:uiPriority w:val="99"/>
    <w:semiHidden/>
    <w:unhideWhenUsed/>
    <w:rsid w:val="00010788"/>
    <w:rPr>
      <w:rFonts w:ascii="Tahoma" w:hAnsi="Tahoma" w:cs="Tahoma"/>
      <w:sz w:val="16"/>
      <w:szCs w:val="16"/>
    </w:rPr>
  </w:style>
  <w:style w:type="character" w:customStyle="1" w:styleId="ac">
    <w:name w:val="Текст выноски Знак"/>
    <w:basedOn w:val="a0"/>
    <w:link w:val="ab"/>
    <w:uiPriority w:val="99"/>
    <w:semiHidden/>
    <w:rsid w:val="00010788"/>
    <w:rPr>
      <w:rFonts w:ascii="Tahoma" w:eastAsia="Times New Roman" w:hAnsi="Tahoma" w:cs="Tahoma"/>
      <w:sz w:val="16"/>
      <w:szCs w:val="16"/>
      <w:lang w:eastAsia="ru-RU"/>
    </w:rPr>
  </w:style>
  <w:style w:type="paragraph" w:customStyle="1" w:styleId="ConsPlusNonformat">
    <w:name w:val="ConsPlusNonformat"/>
    <w:rsid w:val="008F7E12"/>
    <w:pPr>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1">
    <w:name w:val="Сетка таблицы1"/>
    <w:basedOn w:val="a1"/>
    <w:next w:val="a4"/>
    <w:uiPriority w:val="59"/>
    <w:rsid w:val="007839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note text"/>
    <w:basedOn w:val="a"/>
    <w:link w:val="ae"/>
    <w:unhideWhenUsed/>
    <w:rsid w:val="0078394C"/>
    <w:rPr>
      <w:sz w:val="20"/>
      <w:szCs w:val="20"/>
    </w:rPr>
  </w:style>
  <w:style w:type="character" w:customStyle="1" w:styleId="ae">
    <w:name w:val="Текст сноски Знак"/>
    <w:basedOn w:val="a0"/>
    <w:link w:val="ad"/>
    <w:rsid w:val="0078394C"/>
    <w:rPr>
      <w:rFonts w:ascii="Times New Roman" w:eastAsia="Times New Roman" w:hAnsi="Times New Roman" w:cs="Times New Roman"/>
      <w:sz w:val="20"/>
      <w:szCs w:val="20"/>
      <w:lang w:eastAsia="ru-RU"/>
    </w:rPr>
  </w:style>
  <w:style w:type="character" w:styleId="af">
    <w:name w:val="footnote reference"/>
    <w:rsid w:val="0078394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2434</Words>
  <Characters>13879</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Лавренюк Руслан</cp:lastModifiedBy>
  <cp:revision>2</cp:revision>
  <cp:lastPrinted>2019-08-07T09:23:00Z</cp:lastPrinted>
  <dcterms:created xsi:type="dcterms:W3CDTF">2025-07-31T12:57:00Z</dcterms:created>
  <dcterms:modified xsi:type="dcterms:W3CDTF">2025-07-31T12:57:00Z</dcterms:modified>
</cp:coreProperties>
</file>